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811" w:rsidRPr="00B96811" w:rsidRDefault="00B96811" w:rsidP="008E61D5">
      <w:pPr>
        <w:pStyle w:val="Heading2"/>
      </w:pPr>
      <w:bookmarkStart w:id="0" w:name="_GoBack"/>
      <w:bookmarkEnd w:id="0"/>
      <w:r w:rsidRPr="00406ED8">
        <w:t>2.</w:t>
      </w:r>
      <w:r w:rsidR="00F91B65" w:rsidRPr="00406ED8">
        <w:t>4</w:t>
      </w:r>
      <w:r w:rsidRPr="00406ED8">
        <w:t>.</w:t>
      </w:r>
      <w:r w:rsidR="00C43AE2" w:rsidRPr="00406ED8">
        <w:t xml:space="preserve"> Sheet</w:t>
      </w:r>
      <w:r w:rsidRPr="00406ED8">
        <w:t xml:space="preserve"> </w:t>
      </w:r>
      <w:r w:rsidR="00A90BAB" w:rsidRPr="008E61D5">
        <w:rPr>
          <w:rStyle w:val="Style1Char"/>
          <w:b/>
        </w:rPr>
        <w:t>Forc</w:t>
      </w:r>
      <w:r w:rsidR="00A90BAB" w:rsidRPr="00406ED8">
        <w:t xml:space="preserve">, </w:t>
      </w:r>
      <w:r w:rsidRPr="00406ED8">
        <w:t>Forecasted Consumption Data</w:t>
      </w:r>
    </w:p>
    <w:p w:rsidR="00B96811" w:rsidRDefault="00B96811" w:rsidP="00E420D4">
      <w:pPr>
        <w:tabs>
          <w:tab w:val="left" w:pos="3540"/>
        </w:tabs>
        <w:rPr>
          <w:rFonts w:cs="Arial"/>
          <w:lang w:val="en-GB"/>
        </w:rPr>
      </w:pPr>
    </w:p>
    <w:p w:rsidR="00B96811" w:rsidRDefault="00B96811" w:rsidP="00E420D4">
      <w:pPr>
        <w:tabs>
          <w:tab w:val="left" w:pos="3540"/>
        </w:tabs>
        <w:rPr>
          <w:rFonts w:cs="Arial"/>
          <w:lang w:val="en-GB"/>
        </w:rPr>
      </w:pPr>
      <w:r>
        <w:rPr>
          <w:rFonts w:cs="Arial"/>
          <w:lang w:val="en-GB"/>
        </w:rPr>
        <w:t>This sheet is the most impo</w:t>
      </w:r>
      <w:r w:rsidR="00A901B3">
        <w:rPr>
          <w:rFonts w:cs="Arial"/>
          <w:lang w:val="en-GB"/>
        </w:rPr>
        <w:t>rtant component of the workbook as it should contain the forecasted MW and MWh consumption of the Sector.</w:t>
      </w:r>
    </w:p>
    <w:p w:rsidR="00A90BAB" w:rsidRDefault="00A90BAB" w:rsidP="00A90BAB">
      <w:pPr>
        <w:tabs>
          <w:tab w:val="left" w:pos="5400"/>
        </w:tabs>
        <w:rPr>
          <w:rFonts w:cs="Arial"/>
          <w:lang w:val="en-GB"/>
        </w:rPr>
      </w:pPr>
    </w:p>
    <w:p w:rsidR="00A90BAB" w:rsidRDefault="00A90BAB" w:rsidP="00A90BAB">
      <w:pPr>
        <w:tabs>
          <w:tab w:val="left" w:pos="3540"/>
        </w:tabs>
        <w:rPr>
          <w:rFonts w:cs="Arial"/>
          <w:lang w:val="en-GB"/>
        </w:rPr>
      </w:pPr>
      <w:r>
        <w:rPr>
          <w:rFonts w:cs="Arial"/>
          <w:lang w:val="en-GB"/>
        </w:rPr>
        <w:t>There is a fixed number of columns, corresponding to each month of the first forecast year through the tenth forecast year. The years are set by the spinner button</w:t>
      </w:r>
      <w:r w:rsidR="0006543E">
        <w:rPr>
          <w:rFonts w:cs="Arial"/>
          <w:lang w:val="en-GB"/>
        </w:rPr>
        <w:t>s</w:t>
      </w:r>
      <w:r>
        <w:rPr>
          <w:rFonts w:cs="Arial"/>
          <w:lang w:val="en-GB"/>
        </w:rPr>
        <w:t xml:space="preserve"> in </w:t>
      </w:r>
      <w:r w:rsidRPr="00A90BAB">
        <w:rPr>
          <w:rStyle w:val="Style1Char"/>
        </w:rPr>
        <w:t>Hist</w:t>
      </w:r>
      <w:r w:rsidR="00406ED8">
        <w:rPr>
          <w:rFonts w:cs="Arial"/>
          <w:lang w:val="en-GB"/>
        </w:rPr>
        <w:t>.</w:t>
      </w:r>
    </w:p>
    <w:p w:rsidR="00A90BAB" w:rsidRDefault="00A90BAB" w:rsidP="00E420D4">
      <w:pPr>
        <w:tabs>
          <w:tab w:val="left" w:pos="3540"/>
        </w:tabs>
        <w:rPr>
          <w:rFonts w:cs="Arial"/>
          <w:lang w:val="en-GB"/>
        </w:rPr>
      </w:pPr>
    </w:p>
    <w:p w:rsidR="00A90BAB" w:rsidRDefault="00A90BAB" w:rsidP="00A90BAB">
      <w:pPr>
        <w:tabs>
          <w:tab w:val="left" w:pos="3540"/>
        </w:tabs>
        <w:rPr>
          <w:rFonts w:cs="Arial"/>
          <w:lang w:val="en-GB"/>
        </w:rPr>
      </w:pPr>
      <w:r>
        <w:rPr>
          <w:rFonts w:cs="Arial"/>
          <w:lang w:val="en-GB"/>
        </w:rPr>
        <w:t xml:space="preserve">The </w:t>
      </w:r>
      <w:r w:rsidR="00434827">
        <w:rPr>
          <w:rFonts w:cs="Arial"/>
          <w:lang w:val="en-GB"/>
        </w:rPr>
        <w:t xml:space="preserve">basic </w:t>
      </w:r>
      <w:r>
        <w:rPr>
          <w:rFonts w:cs="Arial"/>
          <w:lang w:val="en-GB"/>
        </w:rPr>
        <w:t>input fields are as follows</w:t>
      </w:r>
      <w:r w:rsidR="00E35ED1">
        <w:rPr>
          <w:rFonts w:cs="Arial"/>
          <w:lang w:val="en-GB"/>
        </w:rPr>
        <w:t>:</w:t>
      </w:r>
    </w:p>
    <w:p w:rsidR="00A90BAB" w:rsidRDefault="00A90BAB" w:rsidP="00A90BAB">
      <w:pPr>
        <w:tabs>
          <w:tab w:val="left" w:pos="3540"/>
        </w:tabs>
        <w:rPr>
          <w:rFonts w:cs="Arial"/>
          <w:lang w:val="en-GB"/>
        </w:rPr>
      </w:pPr>
    </w:p>
    <w:tbl>
      <w:tblPr>
        <w:tblStyle w:val="TableGrid"/>
        <w:tblW w:w="0" w:type="auto"/>
        <w:tblLook w:val="04A0" w:firstRow="1" w:lastRow="0" w:firstColumn="1" w:lastColumn="0" w:noHBand="0" w:noVBand="1"/>
      </w:tblPr>
      <w:tblGrid>
        <w:gridCol w:w="3774"/>
        <w:gridCol w:w="5243"/>
      </w:tblGrid>
      <w:tr w:rsidR="001438F0" w:rsidRPr="007A74CC" w:rsidTr="001438F0">
        <w:trPr>
          <w:cantSplit/>
          <w:tblHeader/>
        </w:trPr>
        <w:tc>
          <w:tcPr>
            <w:tcW w:w="3775" w:type="dxa"/>
            <w:shd w:val="clear" w:color="auto" w:fill="FFFF00"/>
          </w:tcPr>
          <w:p w:rsidR="001438F0" w:rsidRPr="007A74CC" w:rsidRDefault="001438F0" w:rsidP="001438F0">
            <w:pPr>
              <w:tabs>
                <w:tab w:val="left" w:pos="3540"/>
              </w:tabs>
              <w:jc w:val="center"/>
              <w:rPr>
                <w:rFonts w:cs="Arial"/>
                <w:b/>
                <w:lang w:val="en-GB"/>
              </w:rPr>
            </w:pPr>
            <w:r w:rsidRPr="007A74CC">
              <w:rPr>
                <w:rFonts w:cs="Arial"/>
                <w:b/>
                <w:lang w:val="en-GB"/>
              </w:rPr>
              <w:t>Input Field</w:t>
            </w:r>
          </w:p>
        </w:tc>
        <w:tc>
          <w:tcPr>
            <w:tcW w:w="5244" w:type="dxa"/>
            <w:shd w:val="clear" w:color="auto" w:fill="FFFF00"/>
          </w:tcPr>
          <w:p w:rsidR="001438F0" w:rsidRPr="007A74CC" w:rsidRDefault="001438F0" w:rsidP="001438F0">
            <w:pPr>
              <w:tabs>
                <w:tab w:val="left" w:pos="1785"/>
              </w:tabs>
              <w:jc w:val="center"/>
              <w:rPr>
                <w:rFonts w:cs="Arial"/>
                <w:b/>
                <w:lang w:val="en-GB"/>
              </w:rPr>
            </w:pPr>
            <w:r>
              <w:rPr>
                <w:rFonts w:cs="Arial"/>
                <w:b/>
                <w:lang w:val="en-GB"/>
              </w:rPr>
              <w:t>Description</w:t>
            </w:r>
          </w:p>
        </w:tc>
      </w:tr>
      <w:tr w:rsidR="001438F0" w:rsidTr="001438F0">
        <w:trPr>
          <w:cantSplit/>
        </w:trPr>
        <w:tc>
          <w:tcPr>
            <w:tcW w:w="3775" w:type="dxa"/>
          </w:tcPr>
          <w:p w:rsidR="001438F0" w:rsidRDefault="001438F0" w:rsidP="001438F0">
            <w:pPr>
              <w:pStyle w:val="Style1"/>
            </w:pPr>
            <w:r>
              <w:t>Coincident Peak MW</w:t>
            </w:r>
          </w:p>
        </w:tc>
        <w:tc>
          <w:tcPr>
            <w:tcW w:w="5244" w:type="dxa"/>
          </w:tcPr>
          <w:p w:rsidR="001438F0" w:rsidRDefault="001438F0" w:rsidP="001438F0">
            <w:pPr>
              <w:tabs>
                <w:tab w:val="left" w:pos="3540"/>
              </w:tabs>
              <w:rPr>
                <w:rFonts w:cs="Arial"/>
                <w:lang w:val="en-GB"/>
              </w:rPr>
            </w:pPr>
            <w:r>
              <w:rPr>
                <w:rFonts w:cs="Arial"/>
                <w:lang w:val="en-GB"/>
              </w:rPr>
              <w:t xml:space="preserve">Forecasted coincident peak </w:t>
            </w:r>
            <w:r w:rsidR="00396DDE">
              <w:rPr>
                <w:rFonts w:cs="Arial"/>
                <w:lang w:val="en-GB"/>
              </w:rPr>
              <w:t xml:space="preserve">or system peak </w:t>
            </w:r>
            <w:r>
              <w:rPr>
                <w:rFonts w:cs="Arial"/>
                <w:lang w:val="en-GB"/>
              </w:rPr>
              <w:t>in MW for the Sector for the month</w:t>
            </w:r>
            <w:r w:rsidR="003672BD" w:rsidRPr="003672BD">
              <w:rPr>
                <w:rFonts w:cs="Arial"/>
                <w:lang w:val="en-GB"/>
              </w:rPr>
              <w:t>, with generation from NM customers and SGF taken into account</w:t>
            </w:r>
          </w:p>
        </w:tc>
      </w:tr>
      <w:tr w:rsidR="001438F0" w:rsidTr="001438F0">
        <w:trPr>
          <w:cantSplit/>
        </w:trPr>
        <w:tc>
          <w:tcPr>
            <w:tcW w:w="3775" w:type="dxa"/>
          </w:tcPr>
          <w:p w:rsidR="001438F0" w:rsidRDefault="001438F0" w:rsidP="001438F0">
            <w:pPr>
              <w:pStyle w:val="Style1"/>
            </w:pPr>
            <w:r>
              <w:t>WESM</w:t>
            </w:r>
          </w:p>
        </w:tc>
        <w:tc>
          <w:tcPr>
            <w:tcW w:w="5244" w:type="dxa"/>
          </w:tcPr>
          <w:p w:rsidR="001438F0" w:rsidRDefault="001438F0" w:rsidP="001438F0">
            <w:pPr>
              <w:tabs>
                <w:tab w:val="left" w:pos="3540"/>
              </w:tabs>
              <w:rPr>
                <w:rFonts w:cs="Arial"/>
                <w:lang w:val="en-GB"/>
              </w:rPr>
            </w:pPr>
            <w:r>
              <w:rPr>
                <w:rFonts w:cs="Arial"/>
                <w:lang w:val="en-GB"/>
              </w:rPr>
              <w:t>Energy in MWh to be purchased from WESM for the Sector for the month</w:t>
            </w:r>
            <w:r w:rsidR="00D53DBB">
              <w:rPr>
                <w:rFonts w:cs="Arial"/>
                <w:lang w:val="en-GB"/>
              </w:rPr>
              <w:t xml:space="preserve"> (may be negative if the quantities sold to the spot market exceed the quantities purchased)</w:t>
            </w:r>
          </w:p>
        </w:tc>
      </w:tr>
      <w:tr w:rsidR="001438F0" w:rsidTr="001438F0">
        <w:trPr>
          <w:cantSplit/>
        </w:trPr>
        <w:tc>
          <w:tcPr>
            <w:tcW w:w="3775" w:type="dxa"/>
          </w:tcPr>
          <w:p w:rsidR="001438F0" w:rsidRDefault="00406ED8" w:rsidP="001438F0">
            <w:pPr>
              <w:pStyle w:val="Style1"/>
            </w:pPr>
            <w:r>
              <w:t>S4R as Buyer</w:t>
            </w:r>
          </w:p>
        </w:tc>
        <w:tc>
          <w:tcPr>
            <w:tcW w:w="5244" w:type="dxa"/>
          </w:tcPr>
          <w:p w:rsidR="001438F0" w:rsidRDefault="001438F0" w:rsidP="001438F0">
            <w:pPr>
              <w:tabs>
                <w:tab w:val="left" w:pos="3540"/>
              </w:tabs>
              <w:rPr>
                <w:rFonts w:cs="Arial"/>
                <w:lang w:val="en-GB"/>
              </w:rPr>
            </w:pPr>
            <w:r>
              <w:rPr>
                <w:rFonts w:cs="Arial"/>
                <w:lang w:val="en-GB"/>
              </w:rPr>
              <w:t>Forecasted MWh from another DU through a Sale for Resale Agreement for the Sector for the month (to be populated only by the Buying DU)</w:t>
            </w:r>
          </w:p>
        </w:tc>
      </w:tr>
      <w:tr w:rsidR="00406ED8" w:rsidTr="001438F0">
        <w:trPr>
          <w:cantSplit/>
        </w:trPr>
        <w:tc>
          <w:tcPr>
            <w:tcW w:w="3775" w:type="dxa"/>
          </w:tcPr>
          <w:p w:rsidR="00406ED8" w:rsidRDefault="00406ED8" w:rsidP="001438F0">
            <w:pPr>
              <w:pStyle w:val="Style1"/>
            </w:pPr>
            <w:r w:rsidRPr="00406ED8">
              <w:t>Retail Electricity Suppliers MWh</w:t>
            </w:r>
          </w:p>
        </w:tc>
        <w:tc>
          <w:tcPr>
            <w:tcW w:w="5244" w:type="dxa"/>
          </w:tcPr>
          <w:p w:rsidR="00406ED8" w:rsidRDefault="00406ED8" w:rsidP="00406ED8">
            <w:pPr>
              <w:tabs>
                <w:tab w:val="left" w:pos="3540"/>
              </w:tabs>
              <w:rPr>
                <w:rFonts w:cs="Arial"/>
                <w:lang w:val="en-GB"/>
              </w:rPr>
            </w:pPr>
            <w:r>
              <w:rPr>
                <w:rFonts w:cs="Arial"/>
                <w:lang w:val="en-GB"/>
              </w:rPr>
              <w:t>Forecasted MWh from RES for the Sector for the month</w:t>
            </w:r>
          </w:p>
        </w:tc>
      </w:tr>
      <w:tr w:rsidR="00406ED8" w:rsidTr="001438F0">
        <w:trPr>
          <w:cantSplit/>
        </w:trPr>
        <w:tc>
          <w:tcPr>
            <w:tcW w:w="3775" w:type="dxa"/>
          </w:tcPr>
          <w:p w:rsidR="00406ED8" w:rsidRDefault="00406ED8" w:rsidP="001438F0">
            <w:pPr>
              <w:pStyle w:val="Style1"/>
            </w:pPr>
            <w:r w:rsidRPr="00406ED8">
              <w:t>Net Metering Customers</w:t>
            </w:r>
          </w:p>
        </w:tc>
        <w:tc>
          <w:tcPr>
            <w:tcW w:w="5244" w:type="dxa"/>
          </w:tcPr>
          <w:p w:rsidR="00406ED8" w:rsidRDefault="00406ED8" w:rsidP="00406ED8">
            <w:pPr>
              <w:tabs>
                <w:tab w:val="left" w:pos="3540"/>
              </w:tabs>
              <w:rPr>
                <w:rFonts w:cs="Arial"/>
                <w:lang w:val="en-GB"/>
              </w:rPr>
            </w:pPr>
            <w:r>
              <w:rPr>
                <w:rFonts w:cs="Arial"/>
                <w:lang w:val="en-GB"/>
              </w:rPr>
              <w:t>Forecasted MWh from NM for the Sector for the month</w:t>
            </w:r>
          </w:p>
        </w:tc>
      </w:tr>
      <w:tr w:rsidR="00406ED8" w:rsidTr="001438F0">
        <w:trPr>
          <w:cantSplit/>
        </w:trPr>
        <w:tc>
          <w:tcPr>
            <w:tcW w:w="3775" w:type="dxa"/>
          </w:tcPr>
          <w:p w:rsidR="00406ED8" w:rsidRDefault="00406ED8" w:rsidP="001438F0">
            <w:pPr>
              <w:pStyle w:val="Style1"/>
            </w:pPr>
            <w:r w:rsidRPr="00406ED8">
              <w:t>Self-generation Facilities</w:t>
            </w:r>
          </w:p>
        </w:tc>
        <w:tc>
          <w:tcPr>
            <w:tcW w:w="5244" w:type="dxa"/>
          </w:tcPr>
          <w:p w:rsidR="00406ED8" w:rsidRDefault="00406ED8" w:rsidP="00DF6FBF">
            <w:pPr>
              <w:tabs>
                <w:tab w:val="left" w:pos="3540"/>
              </w:tabs>
              <w:rPr>
                <w:rFonts w:cs="Arial"/>
                <w:lang w:val="en-GB"/>
              </w:rPr>
            </w:pPr>
            <w:r>
              <w:rPr>
                <w:rFonts w:cs="Arial"/>
                <w:lang w:val="en-GB"/>
              </w:rPr>
              <w:t>Forecasted MWh from SGF for the Sector for the month</w:t>
            </w:r>
            <w:r w:rsidR="00DF6FBF">
              <w:rPr>
                <w:rFonts w:cs="Arial"/>
                <w:lang w:val="en-GB"/>
              </w:rPr>
              <w:t xml:space="preserve"> (generation from embedded generators not covered by a PSA may be included)</w:t>
            </w:r>
          </w:p>
        </w:tc>
      </w:tr>
      <w:tr w:rsidR="00406ED8" w:rsidTr="001438F0">
        <w:trPr>
          <w:cantSplit/>
        </w:trPr>
        <w:tc>
          <w:tcPr>
            <w:tcW w:w="3775" w:type="dxa"/>
          </w:tcPr>
          <w:p w:rsidR="00406ED8" w:rsidRDefault="00406ED8" w:rsidP="001438F0">
            <w:pPr>
              <w:pStyle w:val="Style1"/>
            </w:pPr>
            <w:r w:rsidRPr="00406ED8">
              <w:t>Retail Electricity Suppliers MW</w:t>
            </w:r>
          </w:p>
        </w:tc>
        <w:tc>
          <w:tcPr>
            <w:tcW w:w="5244" w:type="dxa"/>
          </w:tcPr>
          <w:p w:rsidR="00406ED8" w:rsidRDefault="00406ED8" w:rsidP="00406ED8">
            <w:pPr>
              <w:tabs>
                <w:tab w:val="left" w:pos="3540"/>
              </w:tabs>
              <w:rPr>
                <w:rFonts w:cs="Arial"/>
                <w:lang w:val="en-GB"/>
              </w:rPr>
            </w:pPr>
            <w:r>
              <w:rPr>
                <w:rFonts w:cs="Arial"/>
                <w:lang w:val="en-GB"/>
              </w:rPr>
              <w:t>Supply in MW corresponding to the coincident demand of switched Contestable Customers for the Sector for the month</w:t>
            </w:r>
          </w:p>
        </w:tc>
      </w:tr>
      <w:tr w:rsidR="001438F0" w:rsidTr="001438F0">
        <w:trPr>
          <w:cantSplit/>
        </w:trPr>
        <w:tc>
          <w:tcPr>
            <w:tcW w:w="3775" w:type="dxa"/>
          </w:tcPr>
          <w:p w:rsidR="001438F0" w:rsidRPr="004D471D" w:rsidRDefault="004D471D" w:rsidP="004D471D">
            <w:pPr>
              <w:pStyle w:val="Style1"/>
            </w:pPr>
            <w:r w:rsidRPr="004D471D">
              <w:rPr>
                <w:rStyle w:val="Style1Char"/>
                <w:b/>
              </w:rPr>
              <w:t>[MWh Sales (Old)] = Residential</w:t>
            </w:r>
            <w:r w:rsidRPr="004D471D">
              <w:t xml:space="preserve">, </w:t>
            </w:r>
            <w:r w:rsidRPr="004D471D">
              <w:rPr>
                <w:rStyle w:val="Style1Char"/>
                <w:b/>
              </w:rPr>
              <w:t>Commercial</w:t>
            </w:r>
            <w:r w:rsidRPr="004D471D">
              <w:t xml:space="preserve">, </w:t>
            </w:r>
            <w:r w:rsidRPr="004D471D">
              <w:rPr>
                <w:rStyle w:val="Style1Char"/>
                <w:b/>
              </w:rPr>
              <w:t>Industrial</w:t>
            </w:r>
            <w:r w:rsidRPr="004D471D">
              <w:t xml:space="preserve">, </w:t>
            </w:r>
            <w:r w:rsidRPr="004D471D">
              <w:rPr>
                <w:rStyle w:val="Style1Char"/>
                <w:b/>
              </w:rPr>
              <w:t>Public Buildings</w:t>
            </w:r>
            <w:r w:rsidRPr="004D471D">
              <w:t xml:space="preserve">, </w:t>
            </w:r>
            <w:r w:rsidRPr="004D471D">
              <w:rPr>
                <w:rStyle w:val="Style1Char"/>
                <w:b/>
              </w:rPr>
              <w:t>Streetlights</w:t>
            </w:r>
            <w:r w:rsidRPr="004D471D">
              <w:t xml:space="preserve">, </w:t>
            </w:r>
            <w:r w:rsidRPr="004D471D">
              <w:rPr>
                <w:rStyle w:val="Style1Char"/>
                <w:b/>
              </w:rPr>
              <w:t>Water Systems</w:t>
            </w:r>
            <w:r w:rsidRPr="004D471D">
              <w:t xml:space="preserve">, </w:t>
            </w:r>
            <w:r w:rsidRPr="004D471D">
              <w:rPr>
                <w:rStyle w:val="Style1Char"/>
                <w:b/>
              </w:rPr>
              <w:t>All Others</w:t>
            </w:r>
          </w:p>
        </w:tc>
        <w:tc>
          <w:tcPr>
            <w:tcW w:w="5244" w:type="dxa"/>
          </w:tcPr>
          <w:p w:rsidR="001438F0" w:rsidRDefault="001438F0" w:rsidP="000D7B70">
            <w:pPr>
              <w:tabs>
                <w:tab w:val="left" w:pos="3540"/>
              </w:tabs>
              <w:rPr>
                <w:rFonts w:cs="Arial"/>
                <w:lang w:val="en-GB"/>
              </w:rPr>
            </w:pPr>
            <w:r>
              <w:rPr>
                <w:rFonts w:cs="Arial"/>
                <w:lang w:val="en-GB"/>
              </w:rPr>
              <w:t xml:space="preserve">Forecasted MWh </w:t>
            </w:r>
            <w:r w:rsidR="000D7B70">
              <w:rPr>
                <w:rFonts w:cs="Arial"/>
                <w:lang w:val="en-GB"/>
              </w:rPr>
              <w:t>S</w:t>
            </w:r>
            <w:r>
              <w:rPr>
                <w:rFonts w:cs="Arial"/>
                <w:lang w:val="en-GB"/>
              </w:rPr>
              <w:t>ales for each customer class for the Sector for the month</w:t>
            </w:r>
          </w:p>
        </w:tc>
      </w:tr>
      <w:tr w:rsidR="004D471D" w:rsidTr="001438F0">
        <w:trPr>
          <w:cantSplit/>
        </w:trPr>
        <w:tc>
          <w:tcPr>
            <w:tcW w:w="3775" w:type="dxa"/>
          </w:tcPr>
          <w:p w:rsidR="004D471D" w:rsidRPr="004D471D" w:rsidRDefault="004D471D" w:rsidP="004D471D">
            <w:pPr>
              <w:pStyle w:val="Style1"/>
              <w:rPr>
                <w:rStyle w:val="Style1Char"/>
                <w:b/>
              </w:rPr>
            </w:pPr>
            <w:r w:rsidRPr="004D471D">
              <w:rPr>
                <w:rStyle w:val="Style1Char"/>
                <w:b/>
              </w:rPr>
              <w:t>[MWh Sales (New)] = Residential</w:t>
            </w:r>
            <w:r w:rsidRPr="004D471D">
              <w:t xml:space="preserve">, </w:t>
            </w:r>
            <w:r w:rsidRPr="004D471D">
              <w:rPr>
                <w:rStyle w:val="Style1Char"/>
                <w:b/>
              </w:rPr>
              <w:t>Low Voltage</w:t>
            </w:r>
            <w:r w:rsidRPr="004D471D">
              <w:t xml:space="preserve">, </w:t>
            </w:r>
            <w:r w:rsidRPr="004D471D">
              <w:rPr>
                <w:rStyle w:val="Style1Char"/>
                <w:b/>
              </w:rPr>
              <w:t>Higher Voltage</w:t>
            </w:r>
          </w:p>
        </w:tc>
        <w:tc>
          <w:tcPr>
            <w:tcW w:w="5244" w:type="dxa"/>
          </w:tcPr>
          <w:p w:rsidR="004D471D" w:rsidRDefault="004D471D" w:rsidP="000D7B70">
            <w:pPr>
              <w:tabs>
                <w:tab w:val="left" w:pos="3540"/>
              </w:tabs>
              <w:rPr>
                <w:rFonts w:cs="Arial"/>
                <w:lang w:val="en-GB"/>
              </w:rPr>
            </w:pPr>
            <w:r>
              <w:rPr>
                <w:rFonts w:cs="Arial"/>
                <w:lang w:val="en-GB"/>
              </w:rPr>
              <w:t xml:space="preserve">Forecasted MWh </w:t>
            </w:r>
            <w:r w:rsidR="000D7B70">
              <w:rPr>
                <w:rFonts w:cs="Arial"/>
                <w:lang w:val="en-GB"/>
              </w:rPr>
              <w:t>S</w:t>
            </w:r>
            <w:r>
              <w:rPr>
                <w:rFonts w:cs="Arial"/>
                <w:lang w:val="en-GB"/>
              </w:rPr>
              <w:t>ales for each customer class for the Sector for the month based on a different classification</w:t>
            </w:r>
          </w:p>
        </w:tc>
      </w:tr>
      <w:tr w:rsidR="001438F0" w:rsidTr="001438F0">
        <w:trPr>
          <w:cantSplit/>
        </w:trPr>
        <w:tc>
          <w:tcPr>
            <w:tcW w:w="3775" w:type="dxa"/>
          </w:tcPr>
          <w:p w:rsidR="001438F0" w:rsidRPr="007A74CC" w:rsidRDefault="004D471D" w:rsidP="001438F0">
            <w:pPr>
              <w:pStyle w:val="Style1"/>
            </w:pPr>
            <w:r>
              <w:t>S4R as Seller</w:t>
            </w:r>
          </w:p>
        </w:tc>
        <w:tc>
          <w:tcPr>
            <w:tcW w:w="5244" w:type="dxa"/>
          </w:tcPr>
          <w:p w:rsidR="001438F0" w:rsidRDefault="001438F0" w:rsidP="001438F0">
            <w:pPr>
              <w:tabs>
                <w:tab w:val="left" w:pos="3540"/>
              </w:tabs>
              <w:rPr>
                <w:rFonts w:cs="Arial"/>
                <w:lang w:val="en-GB"/>
              </w:rPr>
            </w:pPr>
            <w:r>
              <w:rPr>
                <w:rFonts w:cs="Arial"/>
                <w:lang w:val="en-GB"/>
              </w:rPr>
              <w:t>Forecasted MWh to other DUs through Sale for Resale Agreements for the month (to be populated only by the Selling DU)</w:t>
            </w:r>
          </w:p>
        </w:tc>
      </w:tr>
      <w:tr w:rsidR="001438F0" w:rsidTr="001438F0">
        <w:trPr>
          <w:cantSplit/>
        </w:trPr>
        <w:tc>
          <w:tcPr>
            <w:tcW w:w="3775" w:type="dxa"/>
          </w:tcPr>
          <w:p w:rsidR="001438F0" w:rsidRDefault="001438F0" w:rsidP="001438F0">
            <w:pPr>
              <w:pStyle w:val="Style1"/>
            </w:pPr>
            <w:r>
              <w:t>Own Use</w:t>
            </w:r>
          </w:p>
        </w:tc>
        <w:tc>
          <w:tcPr>
            <w:tcW w:w="5244" w:type="dxa"/>
          </w:tcPr>
          <w:p w:rsidR="001438F0" w:rsidRDefault="001438F0" w:rsidP="001438F0">
            <w:pPr>
              <w:tabs>
                <w:tab w:val="left" w:pos="3540"/>
              </w:tabs>
              <w:rPr>
                <w:rFonts w:cs="Arial"/>
                <w:lang w:val="en-GB"/>
              </w:rPr>
            </w:pPr>
            <w:r>
              <w:rPr>
                <w:rFonts w:cs="Arial"/>
                <w:lang w:val="en-GB"/>
              </w:rPr>
              <w:t>Forecasted Own Use in MWh for the Sector for the month</w:t>
            </w:r>
          </w:p>
        </w:tc>
      </w:tr>
      <w:tr w:rsidR="004D471D" w:rsidTr="001438F0">
        <w:trPr>
          <w:cantSplit/>
        </w:trPr>
        <w:tc>
          <w:tcPr>
            <w:tcW w:w="3775" w:type="dxa"/>
          </w:tcPr>
          <w:p w:rsidR="004D471D" w:rsidRDefault="004D471D" w:rsidP="001438F0">
            <w:pPr>
              <w:pStyle w:val="Style1"/>
            </w:pPr>
            <w:r>
              <w:lastRenderedPageBreak/>
              <w:t xml:space="preserve">Feeder </w:t>
            </w:r>
            <w:r w:rsidRPr="007A74CC">
              <w:t>Tech</w:t>
            </w:r>
            <w:r>
              <w:t>nical</w:t>
            </w:r>
            <w:r w:rsidRPr="007A74CC">
              <w:t xml:space="preserve"> Loss</w:t>
            </w:r>
          </w:p>
        </w:tc>
        <w:tc>
          <w:tcPr>
            <w:tcW w:w="5244" w:type="dxa"/>
          </w:tcPr>
          <w:p w:rsidR="004D471D" w:rsidRDefault="004D471D" w:rsidP="004D471D">
            <w:pPr>
              <w:tabs>
                <w:tab w:val="left" w:pos="3540"/>
              </w:tabs>
              <w:rPr>
                <w:rFonts w:cs="Arial"/>
                <w:lang w:val="en-GB"/>
              </w:rPr>
            </w:pPr>
            <w:r>
              <w:rPr>
                <w:rFonts w:cs="Arial"/>
                <w:lang w:val="en-GB"/>
              </w:rPr>
              <w:t xml:space="preserve">Forecasted losses in MWh </w:t>
            </w:r>
            <w:r w:rsidR="00801B86">
              <w:rPr>
                <w:rFonts w:cs="Arial"/>
                <w:lang w:val="en-GB"/>
              </w:rPr>
              <w:t xml:space="preserve">to be </w:t>
            </w:r>
            <w:r w:rsidRPr="007978F5">
              <w:rPr>
                <w:rFonts w:cs="Arial"/>
                <w:lang w:val="en-GB"/>
              </w:rPr>
              <w:t xml:space="preserve">incurred by the distribution </w:t>
            </w:r>
            <w:r>
              <w:rPr>
                <w:rFonts w:cs="Arial"/>
                <w:lang w:val="en-GB"/>
              </w:rPr>
              <w:t>network downstream of the distribution substations for the Sector for the year or month</w:t>
            </w:r>
          </w:p>
        </w:tc>
      </w:tr>
      <w:tr w:rsidR="001438F0" w:rsidTr="001438F0">
        <w:trPr>
          <w:cantSplit/>
        </w:trPr>
        <w:tc>
          <w:tcPr>
            <w:tcW w:w="3775" w:type="dxa"/>
          </w:tcPr>
          <w:p w:rsidR="001438F0" w:rsidRDefault="004D471D" w:rsidP="001438F0">
            <w:pPr>
              <w:pStyle w:val="Style1"/>
            </w:pPr>
            <w:r>
              <w:t xml:space="preserve">SubTx &amp; SS </w:t>
            </w:r>
            <w:r w:rsidRPr="007A74CC">
              <w:t>Tech</w:t>
            </w:r>
            <w:r>
              <w:t>nical</w:t>
            </w:r>
            <w:r w:rsidRPr="007A74CC">
              <w:t xml:space="preserve"> Loss</w:t>
            </w:r>
          </w:p>
        </w:tc>
        <w:tc>
          <w:tcPr>
            <w:tcW w:w="5244" w:type="dxa"/>
          </w:tcPr>
          <w:p w:rsidR="001438F0" w:rsidRDefault="004D471D" w:rsidP="004D471D">
            <w:pPr>
              <w:tabs>
                <w:tab w:val="left" w:pos="3540"/>
              </w:tabs>
              <w:rPr>
                <w:rFonts w:cs="Arial"/>
                <w:lang w:val="en-GB"/>
              </w:rPr>
            </w:pPr>
            <w:r>
              <w:rPr>
                <w:rFonts w:cs="Arial"/>
                <w:lang w:val="en-GB"/>
              </w:rPr>
              <w:t xml:space="preserve">Forecasted losses in MWh </w:t>
            </w:r>
            <w:r w:rsidR="00801B86">
              <w:rPr>
                <w:rFonts w:cs="Arial"/>
                <w:lang w:val="en-GB"/>
              </w:rPr>
              <w:t xml:space="preserve">to be </w:t>
            </w:r>
            <w:r w:rsidRPr="007978F5">
              <w:rPr>
                <w:rFonts w:cs="Arial"/>
                <w:lang w:val="en-GB"/>
              </w:rPr>
              <w:t>incurred by the sub-transmission network and the distribution substations</w:t>
            </w:r>
            <w:r>
              <w:rPr>
                <w:rFonts w:cs="Arial"/>
                <w:lang w:val="en-GB"/>
              </w:rPr>
              <w:t xml:space="preserve"> for the Sector for the year or month</w:t>
            </w:r>
          </w:p>
        </w:tc>
      </w:tr>
      <w:tr w:rsidR="001438F0" w:rsidTr="001438F0">
        <w:trPr>
          <w:cantSplit/>
        </w:trPr>
        <w:tc>
          <w:tcPr>
            <w:tcW w:w="3775" w:type="dxa"/>
          </w:tcPr>
          <w:p w:rsidR="001438F0" w:rsidRDefault="001438F0" w:rsidP="001438F0">
            <w:pPr>
              <w:pStyle w:val="Style1"/>
            </w:pPr>
            <w:r w:rsidRPr="007A74CC">
              <w:t>Non-tech</w:t>
            </w:r>
            <w:r>
              <w:t>nical</w:t>
            </w:r>
            <w:r w:rsidRPr="007A74CC">
              <w:t xml:space="preserve"> Loss</w:t>
            </w:r>
          </w:p>
        </w:tc>
        <w:tc>
          <w:tcPr>
            <w:tcW w:w="5244" w:type="dxa"/>
          </w:tcPr>
          <w:p w:rsidR="001438F0" w:rsidRDefault="001438F0" w:rsidP="001438F0">
            <w:pPr>
              <w:tabs>
                <w:tab w:val="left" w:pos="3540"/>
              </w:tabs>
              <w:rPr>
                <w:rFonts w:cs="Arial"/>
                <w:lang w:val="en-GB"/>
              </w:rPr>
            </w:pPr>
            <w:r>
              <w:rPr>
                <w:rFonts w:cs="Arial"/>
                <w:lang w:val="en-GB"/>
              </w:rPr>
              <w:t>Forecasted non-technical component of System Loss in MWh for the Sector for the month</w:t>
            </w:r>
          </w:p>
        </w:tc>
      </w:tr>
    </w:tbl>
    <w:p w:rsidR="001438F0" w:rsidRDefault="001438F0" w:rsidP="00A90BAB">
      <w:pPr>
        <w:tabs>
          <w:tab w:val="left" w:pos="3540"/>
        </w:tabs>
        <w:rPr>
          <w:rFonts w:cs="Arial"/>
          <w:lang w:val="en-GB"/>
        </w:rPr>
      </w:pPr>
    </w:p>
    <w:p w:rsidR="00F70AAE" w:rsidRPr="00613144" w:rsidRDefault="00E35ED1" w:rsidP="00434827">
      <w:pPr>
        <w:tabs>
          <w:tab w:val="left" w:pos="3540"/>
        </w:tabs>
        <w:rPr>
          <w:rFonts w:cs="Arial"/>
          <w:color w:val="000000" w:themeColor="text1"/>
          <w:lang w:val="en-GB"/>
        </w:rPr>
      </w:pPr>
      <w:r w:rsidRPr="00613144">
        <w:rPr>
          <w:rFonts w:cs="Arial"/>
          <w:color w:val="000000" w:themeColor="text1"/>
          <w:lang w:val="en-GB"/>
        </w:rPr>
        <w:t xml:space="preserve">To add fields for a Contracted PSA, click the </w:t>
      </w:r>
      <w:r w:rsidR="004D471D">
        <w:rPr>
          <w:rFonts w:cs="Arial"/>
          <w:color w:val="000000" w:themeColor="text1"/>
          <w:lang w:val="en-GB"/>
        </w:rPr>
        <w:t>first</w:t>
      </w:r>
      <w:r w:rsidR="00CF6642">
        <w:rPr>
          <w:rFonts w:cs="Arial"/>
          <w:color w:val="000000" w:themeColor="text1"/>
          <w:lang w:val="en-GB"/>
        </w:rPr>
        <w:t xml:space="preserve"> up spin</w:t>
      </w:r>
      <w:r w:rsidR="006018AF">
        <w:rPr>
          <w:rFonts w:cs="Arial"/>
          <w:color w:val="000000" w:themeColor="text1"/>
          <w:lang w:val="en-GB"/>
        </w:rPr>
        <w:t>n</w:t>
      </w:r>
      <w:r w:rsidRPr="00613144">
        <w:rPr>
          <w:rFonts w:cs="Arial"/>
          <w:color w:val="000000" w:themeColor="text1"/>
          <w:lang w:val="en-GB"/>
        </w:rPr>
        <w:t>er button. A dialog box will appear. Type in the Case Number for the PSA application filed with ERC</w:t>
      </w:r>
      <w:r w:rsidR="00193A47" w:rsidRPr="00613144">
        <w:rPr>
          <w:rFonts w:cs="Arial"/>
          <w:color w:val="000000" w:themeColor="text1"/>
          <w:lang w:val="en-GB"/>
        </w:rPr>
        <w:t xml:space="preserve"> (e.g. </w:t>
      </w:r>
      <w:r w:rsidR="004D471D">
        <w:rPr>
          <w:rFonts w:cs="Arial"/>
          <w:color w:val="000000" w:themeColor="text1"/>
          <w:lang w:val="en-GB"/>
        </w:rPr>
        <w:t>“</w:t>
      </w:r>
      <w:r w:rsidR="00193A47" w:rsidRPr="00613144">
        <w:rPr>
          <w:rFonts w:cs="Arial"/>
          <w:color w:val="000000" w:themeColor="text1"/>
          <w:lang w:val="en-GB"/>
        </w:rPr>
        <w:t>2017-999RC”)</w:t>
      </w:r>
      <w:r w:rsidRPr="00613144">
        <w:rPr>
          <w:rFonts w:cs="Arial"/>
          <w:color w:val="000000" w:themeColor="text1"/>
          <w:lang w:val="en-GB"/>
        </w:rPr>
        <w:t xml:space="preserve">, and press Enter. </w:t>
      </w:r>
      <w:r w:rsidR="00AC624C">
        <w:rPr>
          <w:rFonts w:cs="Arial"/>
          <w:color w:val="000000" w:themeColor="text1"/>
          <w:lang w:val="en-GB"/>
        </w:rPr>
        <w:t>If there is no case number, type in any suitable identifier</w:t>
      </w:r>
      <w:r w:rsidR="00EA0974">
        <w:rPr>
          <w:rFonts w:cs="Arial"/>
          <w:color w:val="000000" w:themeColor="text1"/>
          <w:lang w:val="en-GB"/>
        </w:rPr>
        <w:t xml:space="preserve">, observing consistency with the corresponding input in </w:t>
      </w:r>
      <w:r w:rsidR="0076162A">
        <w:rPr>
          <w:rStyle w:val="Style1Char"/>
        </w:rPr>
        <w:t>Offtake</w:t>
      </w:r>
      <w:r w:rsidR="00EA0974">
        <w:rPr>
          <w:rFonts w:cs="Arial"/>
          <w:color w:val="000000" w:themeColor="text1"/>
          <w:lang w:val="en-GB"/>
        </w:rPr>
        <w:t xml:space="preserve"> as applicable</w:t>
      </w:r>
      <w:r w:rsidR="00AC624C">
        <w:rPr>
          <w:rFonts w:cs="Arial"/>
          <w:color w:val="000000" w:themeColor="text1"/>
          <w:lang w:val="en-GB"/>
        </w:rPr>
        <w:t xml:space="preserve">. </w:t>
      </w:r>
      <w:r w:rsidR="00F70AAE" w:rsidRPr="00613144">
        <w:rPr>
          <w:rFonts w:cs="Arial"/>
          <w:color w:val="000000" w:themeColor="text1"/>
          <w:lang w:val="en-GB"/>
        </w:rPr>
        <w:t>A second dialog box will appear for the portion of load served. Type in “B” for base load, “I” for intermediate, and “P” for peaking</w:t>
      </w:r>
      <w:r w:rsidR="00B75336">
        <w:rPr>
          <w:rFonts w:cs="Arial"/>
          <w:color w:val="000000" w:themeColor="text1"/>
          <w:lang w:val="en-GB"/>
        </w:rPr>
        <w:t>,</w:t>
      </w:r>
      <w:r w:rsidR="00F70AAE" w:rsidRPr="00613144">
        <w:rPr>
          <w:rFonts w:cs="Arial"/>
          <w:color w:val="000000" w:themeColor="text1"/>
          <w:lang w:val="en-GB"/>
        </w:rPr>
        <w:t xml:space="preserve"> and press Enter. Note that the input is case-sensitive and the dialog box will keep on cycling until the correct input is made. A similar dialog box will appear for </w:t>
      </w:r>
      <w:r w:rsidR="00BF3250">
        <w:rPr>
          <w:rFonts w:cs="Arial"/>
          <w:color w:val="000000" w:themeColor="text1"/>
          <w:lang w:val="en-GB"/>
        </w:rPr>
        <w:t>Renewable Portfolio Standards (</w:t>
      </w:r>
      <w:r w:rsidR="00F70AAE" w:rsidRPr="00613144">
        <w:rPr>
          <w:rFonts w:cs="Arial"/>
          <w:color w:val="000000" w:themeColor="text1"/>
          <w:lang w:val="en-GB"/>
        </w:rPr>
        <w:t>RPS</w:t>
      </w:r>
      <w:r w:rsidR="00BF3250">
        <w:rPr>
          <w:rFonts w:cs="Arial"/>
          <w:color w:val="000000" w:themeColor="text1"/>
          <w:lang w:val="en-GB"/>
        </w:rPr>
        <w:t>)</w:t>
      </w:r>
      <w:r w:rsidR="00F70AAE" w:rsidRPr="00613144">
        <w:rPr>
          <w:rFonts w:cs="Arial"/>
          <w:color w:val="000000" w:themeColor="text1"/>
          <w:lang w:val="en-GB"/>
        </w:rPr>
        <w:t xml:space="preserve"> eligibility. Type in “Y” for “Yes” if the PSA is with an RPS-eligible resource</w:t>
      </w:r>
      <w:r w:rsidR="009B475C">
        <w:rPr>
          <w:rFonts w:cs="Arial"/>
          <w:color w:val="000000" w:themeColor="text1"/>
          <w:lang w:val="en-GB"/>
        </w:rPr>
        <w:t xml:space="preserve"> (an RE plant </w:t>
      </w:r>
      <w:r w:rsidR="00253666">
        <w:rPr>
          <w:rFonts w:cs="Arial"/>
          <w:color w:val="000000" w:themeColor="text1"/>
          <w:lang w:val="en-GB"/>
        </w:rPr>
        <w:t xml:space="preserve">that commenced operation </w:t>
      </w:r>
      <w:r w:rsidR="00AC6EC4">
        <w:rPr>
          <w:rFonts w:cs="Arial"/>
          <w:color w:val="000000" w:themeColor="text1"/>
          <w:lang w:val="en-GB"/>
        </w:rPr>
        <w:t>after the effectivity of RA 9513</w:t>
      </w:r>
      <w:r w:rsidR="009B475C">
        <w:rPr>
          <w:rFonts w:cs="Arial"/>
          <w:color w:val="000000" w:themeColor="text1"/>
          <w:lang w:val="en-GB"/>
        </w:rPr>
        <w:t>)</w:t>
      </w:r>
      <w:r w:rsidR="00F70AAE" w:rsidRPr="00613144">
        <w:rPr>
          <w:rFonts w:cs="Arial"/>
          <w:color w:val="000000" w:themeColor="text1"/>
          <w:lang w:val="en-GB"/>
        </w:rPr>
        <w:t xml:space="preserve">, or “N” for “No” </w:t>
      </w:r>
      <w:r w:rsidR="008F31AA">
        <w:rPr>
          <w:rFonts w:cs="Arial"/>
          <w:color w:val="000000" w:themeColor="text1"/>
          <w:lang w:val="en-GB"/>
        </w:rPr>
        <w:t xml:space="preserve">if </w:t>
      </w:r>
      <w:r w:rsidR="00F70AAE" w:rsidRPr="00613144">
        <w:rPr>
          <w:rFonts w:cs="Arial"/>
          <w:color w:val="000000" w:themeColor="text1"/>
          <w:lang w:val="en-GB"/>
        </w:rPr>
        <w:t>otherwise, and press Enter.</w:t>
      </w:r>
    </w:p>
    <w:p w:rsidR="00F70AAE" w:rsidRDefault="00F70AAE" w:rsidP="00434827">
      <w:pPr>
        <w:tabs>
          <w:tab w:val="left" w:pos="3540"/>
        </w:tabs>
        <w:rPr>
          <w:rFonts w:cs="Arial"/>
          <w:color w:val="000000" w:themeColor="text1"/>
          <w:lang w:val="en-GB"/>
        </w:rPr>
      </w:pPr>
    </w:p>
    <w:p w:rsidR="004D471D" w:rsidRDefault="004D471D" w:rsidP="00434827">
      <w:pPr>
        <w:tabs>
          <w:tab w:val="left" w:pos="3540"/>
        </w:tabs>
        <w:rPr>
          <w:rFonts w:cs="Arial"/>
          <w:color w:val="000000" w:themeColor="text1"/>
          <w:lang w:val="en-GB"/>
        </w:rPr>
      </w:pPr>
      <w:r>
        <w:rPr>
          <w:rFonts w:cs="Arial"/>
          <w:color w:val="000000" w:themeColor="text1"/>
          <w:lang w:val="en-GB"/>
        </w:rPr>
        <w:t xml:space="preserve">As a guideline, a PSA is for base load requirements if its </w:t>
      </w:r>
      <w:r w:rsidR="00365CE9">
        <w:rPr>
          <w:rFonts w:cs="Arial"/>
          <w:color w:val="000000" w:themeColor="text1"/>
          <w:lang w:val="en-GB"/>
        </w:rPr>
        <w:t xml:space="preserve">expected </w:t>
      </w:r>
      <w:r>
        <w:rPr>
          <w:rFonts w:cs="Arial"/>
          <w:color w:val="000000" w:themeColor="text1"/>
          <w:lang w:val="en-GB"/>
        </w:rPr>
        <w:t xml:space="preserve">utilization (MWh </w:t>
      </w:r>
      <w:r w:rsidR="00375B58">
        <w:rPr>
          <w:rFonts w:cs="Arial"/>
          <w:color w:val="000000" w:themeColor="text1"/>
          <w:lang w:val="en-GB"/>
        </w:rPr>
        <w:t>O</w:t>
      </w:r>
      <w:r>
        <w:rPr>
          <w:rFonts w:cs="Arial"/>
          <w:color w:val="000000" w:themeColor="text1"/>
          <w:lang w:val="en-GB"/>
        </w:rPr>
        <w:t xml:space="preserve">fftake </w:t>
      </w:r>
      <w:r w:rsidR="00365CE9">
        <w:rPr>
          <w:rFonts w:cs="Arial"/>
          <w:color w:val="000000" w:themeColor="text1"/>
          <w:lang w:val="en-GB"/>
        </w:rPr>
        <w:t>divided by the number of period hours divided by the pertinent generating capacity in MW) is 70% or higher. A PSA is for intermediate or mid-merit requirements if its e</w:t>
      </w:r>
      <w:r w:rsidR="00801B86">
        <w:rPr>
          <w:rFonts w:cs="Arial"/>
          <w:color w:val="000000" w:themeColor="text1"/>
          <w:lang w:val="en-GB"/>
        </w:rPr>
        <w:t>xpected utilization is between 2</w:t>
      </w:r>
      <w:r w:rsidR="00365CE9">
        <w:rPr>
          <w:rFonts w:cs="Arial"/>
          <w:color w:val="000000" w:themeColor="text1"/>
          <w:lang w:val="en-GB"/>
        </w:rPr>
        <w:t xml:space="preserve">0% and 70%. A PSA is for peaking requirements if its expected utilization is </w:t>
      </w:r>
      <w:r w:rsidR="00801B86">
        <w:rPr>
          <w:rFonts w:cs="Arial"/>
          <w:color w:val="000000" w:themeColor="text1"/>
          <w:lang w:val="en-GB"/>
        </w:rPr>
        <w:t>2</w:t>
      </w:r>
      <w:r w:rsidR="00365CE9">
        <w:rPr>
          <w:rFonts w:cs="Arial"/>
          <w:color w:val="000000" w:themeColor="text1"/>
          <w:lang w:val="en-GB"/>
        </w:rPr>
        <w:t>0% or lower. However, due to changing circumstances, the assignments may change. For example, an intermediate PSA may be “promoted” to base load</w:t>
      </w:r>
      <w:r w:rsidR="00801B86">
        <w:rPr>
          <w:rFonts w:cs="Arial"/>
          <w:color w:val="000000" w:themeColor="text1"/>
          <w:lang w:val="en-GB"/>
        </w:rPr>
        <w:t xml:space="preserve"> if it proves cheaper later on, or if there is substantial increase in minimum load </w:t>
      </w:r>
      <w:r w:rsidR="006018AF">
        <w:rPr>
          <w:rFonts w:cs="Arial"/>
          <w:color w:val="000000" w:themeColor="text1"/>
          <w:lang w:val="en-GB"/>
        </w:rPr>
        <w:t>requirements</w:t>
      </w:r>
      <w:r w:rsidR="00801B86">
        <w:rPr>
          <w:rFonts w:cs="Arial"/>
          <w:color w:val="000000" w:themeColor="text1"/>
          <w:lang w:val="en-GB"/>
        </w:rPr>
        <w:t>.</w:t>
      </w:r>
    </w:p>
    <w:p w:rsidR="004D471D" w:rsidRPr="00613144" w:rsidRDefault="004D471D" w:rsidP="00434827">
      <w:pPr>
        <w:tabs>
          <w:tab w:val="left" w:pos="3540"/>
        </w:tabs>
        <w:rPr>
          <w:rFonts w:cs="Arial"/>
          <w:color w:val="000000" w:themeColor="text1"/>
          <w:lang w:val="en-GB"/>
        </w:rPr>
      </w:pPr>
    </w:p>
    <w:p w:rsidR="00193A47" w:rsidRPr="00613144" w:rsidRDefault="00E35ED1" w:rsidP="00434827">
      <w:pPr>
        <w:tabs>
          <w:tab w:val="left" w:pos="3540"/>
        </w:tabs>
        <w:rPr>
          <w:rFonts w:cs="Arial"/>
          <w:color w:val="000000" w:themeColor="text1"/>
          <w:lang w:val="en-GB"/>
        </w:rPr>
      </w:pPr>
      <w:r w:rsidRPr="00613144">
        <w:rPr>
          <w:rFonts w:cs="Arial"/>
          <w:color w:val="000000" w:themeColor="text1"/>
          <w:lang w:val="en-GB"/>
        </w:rPr>
        <w:t xml:space="preserve">A row </w:t>
      </w:r>
      <w:r w:rsidR="00A901B3">
        <w:rPr>
          <w:rFonts w:cs="Arial"/>
          <w:color w:val="000000" w:themeColor="text1"/>
          <w:lang w:val="en-GB"/>
        </w:rPr>
        <w:t xml:space="preserve">with a dark blue label </w:t>
      </w:r>
      <w:r w:rsidRPr="00613144">
        <w:rPr>
          <w:rFonts w:cs="Arial"/>
          <w:color w:val="000000" w:themeColor="text1"/>
          <w:lang w:val="en-GB"/>
        </w:rPr>
        <w:t xml:space="preserve">will be inserted under the Contracted MWh heading and another one </w:t>
      </w:r>
      <w:r w:rsidR="007F4A9B">
        <w:rPr>
          <w:rFonts w:cs="Arial"/>
          <w:color w:val="000000" w:themeColor="text1"/>
          <w:lang w:val="en-GB"/>
        </w:rPr>
        <w:t xml:space="preserve">with a light blue label will be inserted </w:t>
      </w:r>
      <w:r w:rsidR="00F76FC7" w:rsidRPr="00613144">
        <w:rPr>
          <w:rFonts w:cs="Arial"/>
          <w:color w:val="000000" w:themeColor="text1"/>
          <w:lang w:val="en-GB"/>
        </w:rPr>
        <w:t>under</w:t>
      </w:r>
      <w:r w:rsidRPr="00613144">
        <w:rPr>
          <w:rFonts w:cs="Arial"/>
          <w:color w:val="000000" w:themeColor="text1"/>
          <w:lang w:val="en-GB"/>
        </w:rPr>
        <w:t xml:space="preserve"> the Contracted MW heading</w:t>
      </w:r>
      <w:r w:rsidR="007F4A9B">
        <w:rPr>
          <w:rFonts w:cs="Arial"/>
          <w:color w:val="000000" w:themeColor="text1"/>
          <w:lang w:val="en-GB"/>
        </w:rPr>
        <w:t>.</w:t>
      </w:r>
      <w:r w:rsidR="005E6834" w:rsidRPr="00613144">
        <w:rPr>
          <w:rFonts w:cs="Arial"/>
          <w:color w:val="000000" w:themeColor="text1"/>
          <w:lang w:val="en-GB"/>
        </w:rPr>
        <w:t xml:space="preserve"> </w:t>
      </w:r>
      <w:r w:rsidR="007F4A9B">
        <w:rPr>
          <w:rFonts w:cs="Arial"/>
          <w:color w:val="000000" w:themeColor="text1"/>
          <w:lang w:val="en-GB"/>
        </w:rPr>
        <w:t>B</w:t>
      </w:r>
      <w:r w:rsidR="005E6834" w:rsidRPr="00613144">
        <w:rPr>
          <w:rFonts w:cs="Arial"/>
          <w:color w:val="000000" w:themeColor="text1"/>
          <w:lang w:val="en-GB"/>
        </w:rPr>
        <w:t>oth</w:t>
      </w:r>
      <w:r w:rsidRPr="00613144">
        <w:rPr>
          <w:rFonts w:cs="Arial"/>
          <w:color w:val="000000" w:themeColor="text1"/>
          <w:lang w:val="en-GB"/>
        </w:rPr>
        <w:t xml:space="preserve"> </w:t>
      </w:r>
      <w:r w:rsidR="007F4A9B">
        <w:rPr>
          <w:rFonts w:cs="Arial"/>
          <w:color w:val="000000" w:themeColor="text1"/>
          <w:lang w:val="en-GB"/>
        </w:rPr>
        <w:t xml:space="preserve">will be </w:t>
      </w:r>
      <w:r w:rsidRPr="00613144">
        <w:rPr>
          <w:rFonts w:cs="Arial"/>
          <w:color w:val="000000" w:themeColor="text1"/>
          <w:lang w:val="en-GB"/>
        </w:rPr>
        <w:t xml:space="preserve">labelled as inputted. Clicking the </w:t>
      </w:r>
      <w:r w:rsidR="004D471D">
        <w:rPr>
          <w:rFonts w:cs="Arial"/>
          <w:color w:val="000000" w:themeColor="text1"/>
          <w:lang w:val="en-GB"/>
        </w:rPr>
        <w:t>first</w:t>
      </w:r>
      <w:r w:rsidRPr="00613144">
        <w:rPr>
          <w:rFonts w:cs="Arial"/>
          <w:color w:val="000000" w:themeColor="text1"/>
          <w:lang w:val="en-GB"/>
        </w:rPr>
        <w:t xml:space="preserve"> down spinner button will lead to the deletion of the rows corresponding to the last Contracted PSA added.</w:t>
      </w:r>
      <w:r w:rsidR="00193A47" w:rsidRPr="00613144">
        <w:rPr>
          <w:rFonts w:cs="Arial"/>
          <w:color w:val="000000" w:themeColor="text1"/>
          <w:lang w:val="en-GB"/>
        </w:rPr>
        <w:t xml:space="preserve"> This cannot be undone.</w:t>
      </w:r>
    </w:p>
    <w:p w:rsidR="00193A47" w:rsidRPr="00613144" w:rsidRDefault="00193A47" w:rsidP="00434827">
      <w:pPr>
        <w:tabs>
          <w:tab w:val="left" w:pos="3540"/>
        </w:tabs>
        <w:rPr>
          <w:rFonts w:cs="Arial"/>
          <w:color w:val="000000" w:themeColor="text1"/>
          <w:lang w:val="en-GB"/>
        </w:rPr>
      </w:pPr>
    </w:p>
    <w:p w:rsidR="00E35ED1" w:rsidRDefault="00F70AAE" w:rsidP="00434827">
      <w:pPr>
        <w:tabs>
          <w:tab w:val="left" w:pos="3540"/>
        </w:tabs>
        <w:rPr>
          <w:rFonts w:cs="Arial"/>
          <w:lang w:val="en-GB"/>
        </w:rPr>
      </w:pPr>
      <w:r>
        <w:rPr>
          <w:rFonts w:cs="Arial"/>
          <w:lang w:val="en-GB"/>
        </w:rPr>
        <w:t xml:space="preserve">Except for </w:t>
      </w:r>
      <w:r w:rsidR="00B75336">
        <w:rPr>
          <w:rFonts w:cs="Arial"/>
          <w:lang w:val="en-GB"/>
        </w:rPr>
        <w:t xml:space="preserve">clicking the </w:t>
      </w:r>
      <w:r w:rsidR="004D471D">
        <w:rPr>
          <w:rFonts w:cs="Arial"/>
          <w:lang w:val="en-GB"/>
        </w:rPr>
        <w:t xml:space="preserve">second </w:t>
      </w:r>
      <w:r w:rsidR="00C355C4">
        <w:rPr>
          <w:rFonts w:cs="Arial"/>
          <w:lang w:val="en-GB"/>
        </w:rPr>
        <w:t>or</w:t>
      </w:r>
      <w:r w:rsidR="00B75336">
        <w:rPr>
          <w:rFonts w:cs="Arial"/>
          <w:lang w:val="en-GB"/>
        </w:rPr>
        <w:t xml:space="preserve"> </w:t>
      </w:r>
      <w:r w:rsidR="004D471D">
        <w:rPr>
          <w:rFonts w:cs="Arial"/>
          <w:lang w:val="en-GB"/>
        </w:rPr>
        <w:t xml:space="preserve">third </w:t>
      </w:r>
      <w:r w:rsidR="00B75336">
        <w:rPr>
          <w:rFonts w:cs="Arial"/>
          <w:lang w:val="en-GB"/>
        </w:rPr>
        <w:t xml:space="preserve">spinner buttons instead of the </w:t>
      </w:r>
      <w:r w:rsidR="00801B86">
        <w:rPr>
          <w:rFonts w:cs="Arial"/>
          <w:lang w:val="en-GB"/>
        </w:rPr>
        <w:t>first</w:t>
      </w:r>
      <w:r>
        <w:rPr>
          <w:rFonts w:cs="Arial"/>
          <w:lang w:val="en-GB"/>
        </w:rPr>
        <w:t>, t</w:t>
      </w:r>
      <w:r w:rsidR="005E6834">
        <w:rPr>
          <w:rFonts w:cs="Arial"/>
          <w:lang w:val="en-GB"/>
        </w:rPr>
        <w:t>he same procedures apply for Pending and Planned PSAs</w:t>
      </w:r>
      <w:r w:rsidR="007C79E3">
        <w:rPr>
          <w:rFonts w:cs="Arial"/>
          <w:lang w:val="en-GB"/>
        </w:rPr>
        <w:t>, respectively</w:t>
      </w:r>
      <w:r w:rsidR="005E6834">
        <w:rPr>
          <w:rFonts w:cs="Arial"/>
          <w:lang w:val="en-GB"/>
        </w:rPr>
        <w:t>.</w:t>
      </w:r>
      <w:r w:rsidR="00193A47">
        <w:rPr>
          <w:rFonts w:cs="Arial"/>
          <w:lang w:val="en-GB"/>
        </w:rPr>
        <w:t xml:space="preserve"> However, for Planned PSAs, any descriptive text (e.g. “2022 Peaking”) may be inputted to the </w:t>
      </w:r>
      <w:r w:rsidR="00B75336">
        <w:rPr>
          <w:rFonts w:cs="Arial"/>
          <w:lang w:val="en-GB"/>
        </w:rPr>
        <w:t xml:space="preserve">first </w:t>
      </w:r>
      <w:r w:rsidR="00193A47">
        <w:rPr>
          <w:rFonts w:cs="Arial"/>
          <w:lang w:val="en-GB"/>
        </w:rPr>
        <w:t>dialog box.</w:t>
      </w:r>
    </w:p>
    <w:p w:rsidR="004D471D" w:rsidRDefault="004D471D" w:rsidP="00434827">
      <w:pPr>
        <w:tabs>
          <w:tab w:val="left" w:pos="3540"/>
        </w:tabs>
        <w:rPr>
          <w:rFonts w:cs="Arial"/>
          <w:lang w:val="en-GB"/>
        </w:rPr>
      </w:pPr>
    </w:p>
    <w:p w:rsidR="00CC02C1" w:rsidRDefault="00CC02C1" w:rsidP="00434827">
      <w:pPr>
        <w:tabs>
          <w:tab w:val="left" w:pos="3540"/>
        </w:tabs>
        <w:rPr>
          <w:rFonts w:cs="Arial"/>
          <w:lang w:val="en-GB"/>
        </w:rPr>
      </w:pPr>
      <w:r>
        <w:rPr>
          <w:rFonts w:cs="Arial"/>
          <w:lang w:val="en-GB"/>
        </w:rPr>
        <w:t>The process for adding fields for Contracted, Pending, and Planned PSAs cannot be aborted. Thus, if any up spinner button is accidentally clicked, dummy inputs must be made without any effort to cancel. Then, once the two rows for the dummy inputs are inserted, simply click the corresponding</w:t>
      </w:r>
      <w:r w:rsidR="00D870B3">
        <w:rPr>
          <w:rFonts w:cs="Arial"/>
          <w:lang w:val="en-GB"/>
        </w:rPr>
        <w:t xml:space="preserve"> down spinner button to remove the rows, thereby reverting to the previous state.</w:t>
      </w:r>
    </w:p>
    <w:p w:rsidR="005E6834" w:rsidRDefault="005E6834" w:rsidP="005E6834">
      <w:pPr>
        <w:tabs>
          <w:tab w:val="left" w:pos="2940"/>
        </w:tabs>
        <w:rPr>
          <w:rFonts w:cs="Arial"/>
          <w:lang w:val="en-GB"/>
        </w:rPr>
      </w:pPr>
    </w:p>
    <w:p w:rsidR="00AA18C1" w:rsidRDefault="00AA18C1" w:rsidP="005E6834">
      <w:pPr>
        <w:tabs>
          <w:tab w:val="left" w:pos="2940"/>
        </w:tabs>
        <w:rPr>
          <w:rFonts w:cs="Arial"/>
          <w:lang w:val="en-GB"/>
        </w:rPr>
      </w:pPr>
      <w:r>
        <w:rPr>
          <w:rFonts w:cs="Arial"/>
          <w:lang w:val="en-GB"/>
        </w:rPr>
        <w:t xml:space="preserve">Do not add fields for </w:t>
      </w:r>
      <w:r w:rsidR="0031349E">
        <w:rPr>
          <w:rFonts w:cs="Arial"/>
          <w:lang w:val="en-GB"/>
        </w:rPr>
        <w:t xml:space="preserve">Offtakes from </w:t>
      </w:r>
      <w:r>
        <w:rPr>
          <w:rFonts w:cs="Arial"/>
          <w:lang w:val="en-GB"/>
        </w:rPr>
        <w:t>WESM</w:t>
      </w:r>
      <w:r w:rsidR="0031349E">
        <w:rPr>
          <w:rFonts w:cs="Arial"/>
          <w:lang w:val="en-GB"/>
        </w:rPr>
        <w:t>, Sale for Resale, NM customers, and SGF</w:t>
      </w:r>
      <w:r>
        <w:rPr>
          <w:rFonts w:cs="Arial"/>
          <w:lang w:val="en-GB"/>
        </w:rPr>
        <w:t xml:space="preserve"> </w:t>
      </w:r>
      <w:r w:rsidR="00801B86">
        <w:rPr>
          <w:rFonts w:cs="Arial"/>
          <w:lang w:val="en-GB"/>
        </w:rPr>
        <w:t>as no MW field was intended</w:t>
      </w:r>
      <w:r>
        <w:rPr>
          <w:rFonts w:cs="Arial"/>
          <w:lang w:val="en-GB"/>
        </w:rPr>
        <w:t xml:space="preserve">. </w:t>
      </w:r>
      <w:r w:rsidR="0031349E">
        <w:rPr>
          <w:rFonts w:cs="Arial"/>
          <w:lang w:val="en-GB"/>
        </w:rPr>
        <w:t xml:space="preserve">It is understood that the MW shortfall of Grid-connected Sectors will be procured from WESM, that whatever is supplied by the Selling DU will be offtaken by the Buying DU, and that </w:t>
      </w:r>
      <w:r w:rsidR="0031349E" w:rsidRPr="0031349E">
        <w:rPr>
          <w:rStyle w:val="Style1Char"/>
        </w:rPr>
        <w:t>Coincident Peak MW</w:t>
      </w:r>
      <w:r w:rsidR="0031349E">
        <w:rPr>
          <w:rFonts w:cs="Arial"/>
          <w:lang w:val="en-GB"/>
        </w:rPr>
        <w:t xml:space="preserve"> already took into account generation from NM customers and SGF.</w:t>
      </w:r>
    </w:p>
    <w:p w:rsidR="00AA18C1" w:rsidRDefault="00AA18C1" w:rsidP="005E6834">
      <w:pPr>
        <w:tabs>
          <w:tab w:val="left" w:pos="2940"/>
        </w:tabs>
        <w:rPr>
          <w:rFonts w:cs="Arial"/>
          <w:lang w:val="en-GB"/>
        </w:rPr>
      </w:pPr>
    </w:p>
    <w:p w:rsidR="00434827" w:rsidRDefault="00434827" w:rsidP="00434827">
      <w:pPr>
        <w:tabs>
          <w:tab w:val="left" w:pos="3540"/>
        </w:tabs>
        <w:rPr>
          <w:rFonts w:cs="Arial"/>
          <w:lang w:val="en-GB"/>
        </w:rPr>
      </w:pPr>
      <w:r>
        <w:rPr>
          <w:rFonts w:cs="Arial"/>
          <w:lang w:val="en-GB"/>
        </w:rPr>
        <w:t>The</w:t>
      </w:r>
      <w:r w:rsidR="00E35ED1">
        <w:rPr>
          <w:rFonts w:cs="Arial"/>
          <w:lang w:val="en-GB"/>
        </w:rPr>
        <w:t xml:space="preserve"> PSA </w:t>
      </w:r>
      <w:r>
        <w:rPr>
          <w:rFonts w:cs="Arial"/>
          <w:lang w:val="en-GB"/>
        </w:rPr>
        <w:t>input fields are as follows</w:t>
      </w:r>
      <w:r w:rsidR="005E6834">
        <w:rPr>
          <w:rFonts w:cs="Arial"/>
          <w:lang w:val="en-GB"/>
        </w:rPr>
        <w:t>:</w:t>
      </w:r>
    </w:p>
    <w:p w:rsidR="00434827" w:rsidRDefault="00434827" w:rsidP="00434827">
      <w:pPr>
        <w:tabs>
          <w:tab w:val="left" w:pos="3540"/>
        </w:tabs>
        <w:rPr>
          <w:rFonts w:cs="Arial"/>
          <w:lang w:val="en-GB"/>
        </w:rPr>
      </w:pPr>
    </w:p>
    <w:tbl>
      <w:tblPr>
        <w:tblStyle w:val="TableGrid"/>
        <w:tblW w:w="0" w:type="auto"/>
        <w:tblLook w:val="04A0" w:firstRow="1" w:lastRow="0" w:firstColumn="1" w:lastColumn="0" w:noHBand="0" w:noVBand="1"/>
      </w:tblPr>
      <w:tblGrid>
        <w:gridCol w:w="3774"/>
        <w:gridCol w:w="5243"/>
      </w:tblGrid>
      <w:tr w:rsidR="00DF6FBF" w:rsidRPr="007A74CC" w:rsidTr="00C3146E">
        <w:trPr>
          <w:cantSplit/>
          <w:tblHeader/>
        </w:trPr>
        <w:tc>
          <w:tcPr>
            <w:tcW w:w="3775" w:type="dxa"/>
            <w:shd w:val="clear" w:color="auto" w:fill="FFFF00"/>
          </w:tcPr>
          <w:p w:rsidR="00DF6FBF" w:rsidRPr="007A74CC" w:rsidRDefault="00DF6FBF" w:rsidP="00C3146E">
            <w:pPr>
              <w:tabs>
                <w:tab w:val="left" w:pos="3540"/>
              </w:tabs>
              <w:jc w:val="center"/>
              <w:rPr>
                <w:rFonts w:cs="Arial"/>
                <w:b/>
                <w:lang w:val="en-GB"/>
              </w:rPr>
            </w:pPr>
            <w:r w:rsidRPr="007A74CC">
              <w:rPr>
                <w:rFonts w:cs="Arial"/>
                <w:b/>
                <w:lang w:val="en-GB"/>
              </w:rPr>
              <w:t>Input Field</w:t>
            </w:r>
          </w:p>
        </w:tc>
        <w:tc>
          <w:tcPr>
            <w:tcW w:w="5244" w:type="dxa"/>
            <w:shd w:val="clear" w:color="auto" w:fill="FFFF00"/>
          </w:tcPr>
          <w:p w:rsidR="00DF6FBF" w:rsidRPr="007A74CC" w:rsidRDefault="00DF6FBF" w:rsidP="00C3146E">
            <w:pPr>
              <w:tabs>
                <w:tab w:val="left" w:pos="1785"/>
              </w:tabs>
              <w:jc w:val="center"/>
              <w:rPr>
                <w:rFonts w:cs="Arial"/>
                <w:b/>
                <w:lang w:val="en-GB"/>
              </w:rPr>
            </w:pPr>
            <w:r>
              <w:rPr>
                <w:rFonts w:cs="Arial"/>
                <w:b/>
                <w:lang w:val="en-GB"/>
              </w:rPr>
              <w:t>Description</w:t>
            </w:r>
          </w:p>
        </w:tc>
      </w:tr>
      <w:tr w:rsidR="00DF6FBF" w:rsidTr="00C3146E">
        <w:trPr>
          <w:cantSplit/>
        </w:trPr>
        <w:tc>
          <w:tcPr>
            <w:tcW w:w="3775" w:type="dxa"/>
          </w:tcPr>
          <w:p w:rsidR="00DF6FBF" w:rsidRDefault="00DF6FBF" w:rsidP="00C3146E">
            <w:pPr>
              <w:pStyle w:val="Style1"/>
            </w:pPr>
            <w:r w:rsidRPr="00A90BAB">
              <w:t>Contracted MWh</w:t>
            </w:r>
            <w:r w:rsidRPr="00A90BAB">
              <w:rPr>
                <w:rFonts w:ascii="Arial" w:hAnsi="Arial" w:cs="Arial"/>
                <w:b w:val="0"/>
              </w:rPr>
              <w:t xml:space="preserve"> for PSA</w:t>
            </w:r>
          </w:p>
        </w:tc>
        <w:tc>
          <w:tcPr>
            <w:tcW w:w="5244" w:type="dxa"/>
          </w:tcPr>
          <w:p w:rsidR="00DF6FBF" w:rsidRDefault="00DF6FBF" w:rsidP="00DC2F84">
            <w:pPr>
              <w:tabs>
                <w:tab w:val="left" w:pos="3540"/>
              </w:tabs>
              <w:rPr>
                <w:rFonts w:cs="Arial"/>
                <w:lang w:val="en-GB"/>
              </w:rPr>
            </w:pPr>
            <w:r>
              <w:rPr>
                <w:rFonts w:cs="Arial"/>
                <w:lang w:val="en-GB"/>
              </w:rPr>
              <w:t>Energy in MWh to be purchased for the Sector for the month through a PSA approved by ERC</w:t>
            </w:r>
            <w:r w:rsidR="00801B86">
              <w:rPr>
                <w:rFonts w:cs="Arial"/>
                <w:lang w:val="en-GB"/>
              </w:rPr>
              <w:t>,</w:t>
            </w:r>
            <w:r>
              <w:rPr>
                <w:rFonts w:cs="Arial"/>
                <w:lang w:val="en-GB"/>
              </w:rPr>
              <w:t xml:space="preserve"> or undertaken with NPC-SPUG</w:t>
            </w:r>
            <w:r w:rsidR="00DC2F84">
              <w:rPr>
                <w:rFonts w:cs="Arial"/>
                <w:lang w:val="en-GB"/>
              </w:rPr>
              <w:t>, or a RESA</w:t>
            </w:r>
            <w:r w:rsidR="00AA18C1">
              <w:rPr>
                <w:rFonts w:cs="Arial"/>
                <w:lang w:val="en-GB"/>
              </w:rPr>
              <w:t xml:space="preserve"> (MWh </w:t>
            </w:r>
            <w:r w:rsidR="0031349E">
              <w:rPr>
                <w:rFonts w:cs="Arial"/>
                <w:lang w:val="en-GB"/>
              </w:rPr>
              <w:t xml:space="preserve">forecasted </w:t>
            </w:r>
            <w:r w:rsidR="00AA18C1">
              <w:rPr>
                <w:rFonts w:cs="Arial"/>
                <w:lang w:val="en-GB"/>
              </w:rPr>
              <w:t xml:space="preserve">to be offtaken </w:t>
            </w:r>
            <w:r w:rsidR="00DC2F84">
              <w:rPr>
                <w:rFonts w:cs="Arial"/>
                <w:lang w:val="en-GB"/>
              </w:rPr>
              <w:t>regardless</w:t>
            </w:r>
            <w:r w:rsidR="00AA18C1">
              <w:rPr>
                <w:rFonts w:cs="Arial"/>
                <w:lang w:val="en-GB"/>
              </w:rPr>
              <w:t xml:space="preserve"> of MEOT</w:t>
            </w:r>
            <w:r w:rsidR="0031349E">
              <w:rPr>
                <w:rFonts w:cs="Arial"/>
                <w:lang w:val="en-GB"/>
              </w:rPr>
              <w:t xml:space="preserve"> indicated in the PSA</w:t>
            </w:r>
            <w:r w:rsidR="00AA18C1">
              <w:rPr>
                <w:rFonts w:cs="Arial"/>
                <w:lang w:val="en-GB"/>
              </w:rPr>
              <w:t>)</w:t>
            </w:r>
          </w:p>
        </w:tc>
      </w:tr>
      <w:tr w:rsidR="00DF6FBF" w:rsidTr="00C3146E">
        <w:trPr>
          <w:cantSplit/>
        </w:trPr>
        <w:tc>
          <w:tcPr>
            <w:tcW w:w="3775" w:type="dxa"/>
          </w:tcPr>
          <w:p w:rsidR="00DF6FBF" w:rsidRDefault="00DF6FBF" w:rsidP="00C3146E">
            <w:pPr>
              <w:pStyle w:val="Style1"/>
            </w:pPr>
            <w:r>
              <w:t xml:space="preserve">Pending </w:t>
            </w:r>
            <w:r w:rsidRPr="00A90BAB">
              <w:t>MWh</w:t>
            </w:r>
            <w:r w:rsidRPr="00A90BAB">
              <w:rPr>
                <w:rFonts w:ascii="Arial" w:hAnsi="Arial" w:cs="Arial"/>
                <w:b w:val="0"/>
              </w:rPr>
              <w:t xml:space="preserve"> for PSA</w:t>
            </w:r>
          </w:p>
        </w:tc>
        <w:tc>
          <w:tcPr>
            <w:tcW w:w="5244" w:type="dxa"/>
          </w:tcPr>
          <w:p w:rsidR="00DF6FBF" w:rsidRDefault="00DF6FBF" w:rsidP="00C3146E">
            <w:pPr>
              <w:tabs>
                <w:tab w:val="left" w:pos="3540"/>
              </w:tabs>
              <w:rPr>
                <w:rFonts w:cs="Arial"/>
                <w:lang w:val="en-GB"/>
              </w:rPr>
            </w:pPr>
            <w:r>
              <w:rPr>
                <w:rFonts w:cs="Arial"/>
                <w:lang w:val="en-GB"/>
              </w:rPr>
              <w:t>Energy in MWh to be purchased for the Sector for the month through a PSA pending</w:t>
            </w:r>
            <w:r w:rsidR="000D7B70">
              <w:rPr>
                <w:rFonts w:cs="Arial"/>
                <w:lang w:val="en-GB"/>
              </w:rPr>
              <w:t xml:space="preserve"> final</w:t>
            </w:r>
            <w:r>
              <w:rPr>
                <w:rFonts w:cs="Arial"/>
                <w:lang w:val="en-GB"/>
              </w:rPr>
              <w:t xml:space="preserve"> approval by ERC</w:t>
            </w:r>
          </w:p>
        </w:tc>
      </w:tr>
      <w:tr w:rsidR="00DF6FBF" w:rsidTr="00C3146E">
        <w:trPr>
          <w:cantSplit/>
        </w:trPr>
        <w:tc>
          <w:tcPr>
            <w:tcW w:w="3775" w:type="dxa"/>
          </w:tcPr>
          <w:p w:rsidR="00DF6FBF" w:rsidRDefault="00DF6FBF" w:rsidP="00C3146E">
            <w:pPr>
              <w:pStyle w:val="Style1"/>
            </w:pPr>
            <w:r>
              <w:t xml:space="preserve">Planned </w:t>
            </w:r>
            <w:r w:rsidRPr="00A90BAB">
              <w:t>MWh</w:t>
            </w:r>
            <w:r w:rsidRPr="00A90BAB">
              <w:rPr>
                <w:rFonts w:ascii="Arial" w:hAnsi="Arial" w:cs="Arial"/>
                <w:b w:val="0"/>
              </w:rPr>
              <w:t xml:space="preserve"> for PSA</w:t>
            </w:r>
          </w:p>
        </w:tc>
        <w:tc>
          <w:tcPr>
            <w:tcW w:w="5244" w:type="dxa"/>
          </w:tcPr>
          <w:p w:rsidR="00DF6FBF" w:rsidRDefault="00DF6FBF" w:rsidP="00C3146E">
            <w:pPr>
              <w:tabs>
                <w:tab w:val="left" w:pos="3540"/>
              </w:tabs>
              <w:rPr>
                <w:rFonts w:cs="Arial"/>
                <w:lang w:val="en-GB"/>
              </w:rPr>
            </w:pPr>
            <w:r>
              <w:rPr>
                <w:rFonts w:cs="Arial"/>
                <w:lang w:val="en-GB"/>
              </w:rPr>
              <w:t>Energy in MWh to be purchased for the Sector for the month through a PSA to be procured through CSP</w:t>
            </w:r>
          </w:p>
        </w:tc>
      </w:tr>
      <w:tr w:rsidR="00DF6FBF" w:rsidTr="00C3146E">
        <w:trPr>
          <w:cantSplit/>
        </w:trPr>
        <w:tc>
          <w:tcPr>
            <w:tcW w:w="3775" w:type="dxa"/>
          </w:tcPr>
          <w:p w:rsidR="00DF6FBF" w:rsidRDefault="00DF6FBF" w:rsidP="00C3146E">
            <w:pPr>
              <w:pStyle w:val="Style1"/>
            </w:pPr>
            <w:r w:rsidRPr="00A90BAB">
              <w:t>Contracted MW</w:t>
            </w:r>
            <w:r w:rsidRPr="00A90BAB">
              <w:rPr>
                <w:rFonts w:ascii="Arial" w:hAnsi="Arial" w:cs="Arial"/>
                <w:b w:val="0"/>
              </w:rPr>
              <w:t xml:space="preserve"> for PSA</w:t>
            </w:r>
          </w:p>
        </w:tc>
        <w:tc>
          <w:tcPr>
            <w:tcW w:w="5244" w:type="dxa"/>
          </w:tcPr>
          <w:p w:rsidR="00DF6FBF" w:rsidRDefault="00DF6FBF" w:rsidP="00C3146E">
            <w:pPr>
              <w:tabs>
                <w:tab w:val="left" w:pos="3540"/>
              </w:tabs>
              <w:rPr>
                <w:rFonts w:cs="Arial"/>
                <w:lang w:val="en-GB"/>
              </w:rPr>
            </w:pPr>
            <w:r>
              <w:rPr>
                <w:rFonts w:cs="Arial"/>
                <w:lang w:val="en-GB"/>
              </w:rPr>
              <w:t>Contracted capacity in MW secured for the Sector for the month through a PSA approved by ERC or undertaken with NPC-SPUG</w:t>
            </w:r>
            <w:r w:rsidR="00AA18C1">
              <w:rPr>
                <w:rFonts w:cs="Arial"/>
                <w:lang w:val="en-GB"/>
              </w:rPr>
              <w:t xml:space="preserve"> (MW available for nomination regardless of actual need)</w:t>
            </w:r>
          </w:p>
        </w:tc>
      </w:tr>
      <w:tr w:rsidR="00DF6FBF" w:rsidTr="00C3146E">
        <w:trPr>
          <w:cantSplit/>
        </w:trPr>
        <w:tc>
          <w:tcPr>
            <w:tcW w:w="3775" w:type="dxa"/>
          </w:tcPr>
          <w:p w:rsidR="00DF6FBF" w:rsidRDefault="00DF6FBF" w:rsidP="00C3146E">
            <w:pPr>
              <w:pStyle w:val="Style1"/>
            </w:pPr>
            <w:r>
              <w:t xml:space="preserve">Pending </w:t>
            </w:r>
            <w:r w:rsidRPr="00A90BAB">
              <w:t>MW</w:t>
            </w:r>
            <w:r w:rsidRPr="00A90BAB">
              <w:rPr>
                <w:rFonts w:ascii="Arial" w:hAnsi="Arial" w:cs="Arial"/>
                <w:b w:val="0"/>
              </w:rPr>
              <w:t xml:space="preserve"> for PSA</w:t>
            </w:r>
          </w:p>
        </w:tc>
        <w:tc>
          <w:tcPr>
            <w:tcW w:w="5244" w:type="dxa"/>
          </w:tcPr>
          <w:p w:rsidR="00DF6FBF" w:rsidRDefault="00DF6FBF" w:rsidP="00C3146E">
            <w:pPr>
              <w:tabs>
                <w:tab w:val="left" w:pos="3540"/>
              </w:tabs>
              <w:rPr>
                <w:rFonts w:cs="Arial"/>
                <w:lang w:val="en-GB"/>
              </w:rPr>
            </w:pPr>
            <w:r>
              <w:rPr>
                <w:rFonts w:cs="Arial"/>
                <w:lang w:val="en-GB"/>
              </w:rPr>
              <w:t xml:space="preserve">Capacity in MW to be secured for the Sector for the month through a PSA pending </w:t>
            </w:r>
            <w:r w:rsidR="000D7B70">
              <w:rPr>
                <w:rFonts w:cs="Arial"/>
                <w:lang w:val="en-GB"/>
              </w:rPr>
              <w:t xml:space="preserve">final </w:t>
            </w:r>
            <w:r>
              <w:rPr>
                <w:rFonts w:cs="Arial"/>
                <w:lang w:val="en-GB"/>
              </w:rPr>
              <w:t>approval by ERC</w:t>
            </w:r>
          </w:p>
        </w:tc>
      </w:tr>
      <w:tr w:rsidR="00DF6FBF" w:rsidTr="00C3146E">
        <w:trPr>
          <w:cantSplit/>
        </w:trPr>
        <w:tc>
          <w:tcPr>
            <w:tcW w:w="3775" w:type="dxa"/>
          </w:tcPr>
          <w:p w:rsidR="00DF6FBF" w:rsidRDefault="00DF6FBF" w:rsidP="00C3146E">
            <w:pPr>
              <w:pStyle w:val="Style1"/>
            </w:pPr>
            <w:r>
              <w:t xml:space="preserve">Planned </w:t>
            </w:r>
            <w:r w:rsidRPr="00A90BAB">
              <w:t>MW</w:t>
            </w:r>
            <w:r w:rsidRPr="00A90BAB">
              <w:rPr>
                <w:rFonts w:ascii="Arial" w:hAnsi="Arial" w:cs="Arial"/>
                <w:b w:val="0"/>
              </w:rPr>
              <w:t xml:space="preserve"> for PSA</w:t>
            </w:r>
          </w:p>
        </w:tc>
        <w:tc>
          <w:tcPr>
            <w:tcW w:w="5244" w:type="dxa"/>
          </w:tcPr>
          <w:p w:rsidR="00DF6FBF" w:rsidRDefault="00DF6FBF" w:rsidP="00C3146E">
            <w:pPr>
              <w:tabs>
                <w:tab w:val="left" w:pos="3540"/>
              </w:tabs>
              <w:rPr>
                <w:rFonts w:cs="Arial"/>
                <w:lang w:val="en-GB"/>
              </w:rPr>
            </w:pPr>
            <w:r>
              <w:rPr>
                <w:rFonts w:cs="Arial"/>
                <w:lang w:val="en-GB"/>
              </w:rPr>
              <w:t>Capacity in MW to be secured for the Sector for the month through a PSA to be procured through CSP</w:t>
            </w:r>
          </w:p>
        </w:tc>
      </w:tr>
    </w:tbl>
    <w:p w:rsidR="00DF6FBF" w:rsidRDefault="00DF6FBF" w:rsidP="00434827">
      <w:pPr>
        <w:tabs>
          <w:tab w:val="left" w:pos="3540"/>
        </w:tabs>
        <w:rPr>
          <w:rFonts w:cs="Arial"/>
          <w:lang w:val="en-GB"/>
        </w:rPr>
      </w:pPr>
    </w:p>
    <w:p w:rsidR="00D06BF8" w:rsidRDefault="00D06BF8" w:rsidP="005E6834">
      <w:pPr>
        <w:tabs>
          <w:tab w:val="left" w:pos="3540"/>
        </w:tabs>
        <w:rPr>
          <w:rFonts w:cs="Arial"/>
          <w:lang w:val="en-GB"/>
        </w:rPr>
      </w:pPr>
      <w:r>
        <w:rPr>
          <w:rFonts w:cs="Arial"/>
          <w:lang w:val="en-GB"/>
        </w:rPr>
        <w:t>It is possible that a PSA may not have definite MW and MWh quantities. In such a case, just provide the best estimate.</w:t>
      </w:r>
      <w:r w:rsidR="00DC2F84">
        <w:rPr>
          <w:rFonts w:cs="Arial"/>
          <w:lang w:val="en-GB"/>
        </w:rPr>
        <w:t xml:space="preserve"> Further, take care to ensure that the MW and MWh quantities for a PSA do not lead to utilization above 100% outside of exceptional cases.</w:t>
      </w:r>
    </w:p>
    <w:p w:rsidR="00D53DBB" w:rsidRDefault="00D53DBB" w:rsidP="005E6834">
      <w:pPr>
        <w:tabs>
          <w:tab w:val="left" w:pos="3540"/>
        </w:tabs>
        <w:rPr>
          <w:rFonts w:cs="Arial"/>
          <w:lang w:val="en-GB"/>
        </w:rPr>
      </w:pPr>
    </w:p>
    <w:p w:rsidR="00640A96" w:rsidRDefault="00640A96" w:rsidP="00640A96">
      <w:pPr>
        <w:tabs>
          <w:tab w:val="left" w:pos="3540"/>
        </w:tabs>
        <w:rPr>
          <w:rFonts w:cs="Arial"/>
          <w:lang w:val="en-GB"/>
        </w:rPr>
      </w:pPr>
      <w:r>
        <w:rPr>
          <w:rFonts w:cs="Arial"/>
          <w:lang w:val="en-GB"/>
        </w:rPr>
        <w:t xml:space="preserve">The Buying DU shall have a PSPP for a Sector served by the Selling DU under a </w:t>
      </w:r>
      <w:r w:rsidRPr="006B1F6D">
        <w:rPr>
          <w:rFonts w:cs="Arial"/>
          <w:lang w:val="en-GB"/>
        </w:rPr>
        <w:t xml:space="preserve">Sale for Resale </w:t>
      </w:r>
      <w:r>
        <w:rPr>
          <w:rFonts w:cs="Arial"/>
          <w:lang w:val="en-GB"/>
        </w:rPr>
        <w:t>Agreement. In said PSPP, the Buying DU shall populate</w:t>
      </w:r>
      <w:r w:rsidR="00564E95">
        <w:rPr>
          <w:rFonts w:cs="Arial"/>
          <w:lang w:val="en-GB"/>
        </w:rPr>
        <w:t xml:space="preserve"> </w:t>
      </w:r>
      <w:r w:rsidR="00C52D0D">
        <w:rPr>
          <w:rStyle w:val="Style1Char"/>
        </w:rPr>
        <w:t>S4R as Buyer</w:t>
      </w:r>
      <w:r>
        <w:rPr>
          <w:rFonts w:cs="Arial"/>
          <w:lang w:val="en-GB"/>
        </w:rPr>
        <w:t xml:space="preserve"> according to the </w:t>
      </w:r>
      <w:r w:rsidRPr="006B1F6D">
        <w:rPr>
          <w:rFonts w:cs="Arial"/>
          <w:lang w:val="en-GB"/>
        </w:rPr>
        <w:t xml:space="preserve">energy </w:t>
      </w:r>
      <w:r>
        <w:rPr>
          <w:rFonts w:cs="Arial"/>
          <w:lang w:val="en-GB"/>
        </w:rPr>
        <w:t xml:space="preserve">forecasted to be sold </w:t>
      </w:r>
      <w:r w:rsidRPr="006B1F6D">
        <w:rPr>
          <w:rFonts w:cs="Arial"/>
          <w:lang w:val="en-GB"/>
        </w:rPr>
        <w:t xml:space="preserve">by the selling DU and </w:t>
      </w:r>
      <w:r w:rsidR="00C52D0D" w:rsidRPr="006B1F6D">
        <w:rPr>
          <w:rFonts w:cs="Arial"/>
          <w:lang w:val="en-GB"/>
        </w:rPr>
        <w:t xml:space="preserve">populate </w:t>
      </w:r>
      <w:r w:rsidR="00C52D0D">
        <w:rPr>
          <w:rStyle w:val="Style1Char"/>
        </w:rPr>
        <w:t>[MWh Sales (Old)]</w:t>
      </w:r>
      <w:r w:rsidR="00C52D0D" w:rsidRPr="00124F72">
        <w:t xml:space="preserve"> and </w:t>
      </w:r>
      <w:r w:rsidR="00C52D0D">
        <w:rPr>
          <w:rStyle w:val="Style1Char"/>
        </w:rPr>
        <w:t>[MWh Sales (New)]</w:t>
      </w:r>
      <w:r w:rsidR="00C52D0D" w:rsidRPr="00124F72">
        <w:t xml:space="preserve"> </w:t>
      </w:r>
      <w:r w:rsidR="00C52D0D">
        <w:rPr>
          <w:rFonts w:cs="Arial"/>
          <w:lang w:val="en-GB"/>
        </w:rPr>
        <w:t>accordingly</w:t>
      </w:r>
      <w:r>
        <w:rPr>
          <w:rFonts w:cs="Arial"/>
          <w:lang w:val="en-GB"/>
        </w:rPr>
        <w:t xml:space="preserve">. </w:t>
      </w:r>
      <w:r w:rsidR="00C52D0D">
        <w:rPr>
          <w:rStyle w:val="Style1Char"/>
        </w:rPr>
        <w:t>S4R as Seller</w:t>
      </w:r>
      <w:r>
        <w:rPr>
          <w:rFonts w:cs="Arial"/>
          <w:lang w:val="en-GB"/>
        </w:rPr>
        <w:t xml:space="preserve"> must be left blank.</w:t>
      </w:r>
    </w:p>
    <w:p w:rsidR="00D53DBB" w:rsidRDefault="00D53DBB" w:rsidP="002A6D23">
      <w:pPr>
        <w:tabs>
          <w:tab w:val="left" w:pos="5310"/>
        </w:tabs>
        <w:rPr>
          <w:rFonts w:cs="Arial"/>
          <w:lang w:val="en-GB"/>
        </w:rPr>
      </w:pPr>
    </w:p>
    <w:p w:rsidR="00640A96" w:rsidRDefault="00640A96" w:rsidP="00640A96">
      <w:pPr>
        <w:tabs>
          <w:tab w:val="left" w:pos="3540"/>
        </w:tabs>
        <w:rPr>
          <w:rFonts w:cs="Arial"/>
          <w:lang w:val="en-GB"/>
        </w:rPr>
      </w:pPr>
      <w:r>
        <w:rPr>
          <w:rFonts w:cs="Arial"/>
          <w:lang w:val="en-GB"/>
        </w:rPr>
        <w:t xml:space="preserve">The Selling DU shall indicate in its PSPP for “Grid” the energy forecasted to be sold to the Buying DU in </w:t>
      </w:r>
      <w:r w:rsidR="00C52D0D">
        <w:rPr>
          <w:rStyle w:val="Style1Char"/>
        </w:rPr>
        <w:t>S4R as Seller</w:t>
      </w:r>
      <w:r>
        <w:rPr>
          <w:rFonts w:cs="Arial"/>
          <w:lang w:val="en-GB"/>
        </w:rPr>
        <w:t xml:space="preserve"> and not in </w:t>
      </w:r>
      <w:r w:rsidR="00C52D0D">
        <w:rPr>
          <w:rStyle w:val="Style1Char"/>
        </w:rPr>
        <w:t>MWh Sales (Old)</w:t>
      </w:r>
      <w:r w:rsidR="00C52D0D" w:rsidRPr="00124F72">
        <w:t xml:space="preserve"> and </w:t>
      </w:r>
      <w:r w:rsidR="00B648AA">
        <w:rPr>
          <w:rStyle w:val="Style1Char"/>
        </w:rPr>
        <w:t>MWh Sales (New)</w:t>
      </w:r>
      <w:r w:rsidRPr="008758AD">
        <w:rPr>
          <w:rFonts w:cs="Arial"/>
          <w:lang w:val="en-GB"/>
        </w:rPr>
        <w:t>.</w:t>
      </w:r>
    </w:p>
    <w:p w:rsidR="00640A96" w:rsidRDefault="00640A96" w:rsidP="00640A96">
      <w:pPr>
        <w:tabs>
          <w:tab w:val="left" w:pos="3540"/>
        </w:tabs>
        <w:rPr>
          <w:rFonts w:cs="Arial"/>
          <w:lang w:val="en-GB"/>
        </w:rPr>
      </w:pPr>
    </w:p>
    <w:p w:rsidR="00D53DBB" w:rsidRDefault="00D53DBB" w:rsidP="00D53DBB">
      <w:r>
        <w:t xml:space="preserve">The DU’s consumption should be in </w:t>
      </w:r>
      <w:r w:rsidRPr="00297F1D">
        <w:rPr>
          <w:rStyle w:val="Style1Char"/>
        </w:rPr>
        <w:t>Own Use</w:t>
      </w:r>
      <w:r>
        <w:t xml:space="preserve"> and not in </w:t>
      </w:r>
      <w:r w:rsidRPr="00297F1D">
        <w:rPr>
          <w:rStyle w:val="Style1Char"/>
        </w:rPr>
        <w:t>Commercial</w:t>
      </w:r>
      <w:r>
        <w:t>.</w:t>
      </w:r>
    </w:p>
    <w:p w:rsidR="00D53DBB" w:rsidRDefault="00D53DBB" w:rsidP="00D53DBB">
      <w:pPr>
        <w:tabs>
          <w:tab w:val="left" w:pos="3540"/>
        </w:tabs>
        <w:rPr>
          <w:rFonts w:cs="Arial"/>
          <w:lang w:val="en-GB"/>
        </w:rPr>
      </w:pPr>
    </w:p>
    <w:p w:rsidR="00D53DBB" w:rsidRDefault="00DC2F84" w:rsidP="00D53DBB">
      <w:pPr>
        <w:tabs>
          <w:tab w:val="left" w:pos="3540"/>
        </w:tabs>
        <w:rPr>
          <w:rFonts w:cs="Arial"/>
          <w:lang w:val="en-GB"/>
        </w:rPr>
      </w:pPr>
      <w:r>
        <w:rPr>
          <w:rFonts w:cs="Arial"/>
          <w:lang w:val="en-GB"/>
        </w:rPr>
        <w:t xml:space="preserve">Note that only the conduct of Load Flow Analysis can lead to accurate estimates of </w:t>
      </w:r>
      <w:r w:rsidRPr="00DC2F84">
        <w:rPr>
          <w:rStyle w:val="Style1Char"/>
        </w:rPr>
        <w:t>Feeder Technical Loss</w:t>
      </w:r>
      <w:r>
        <w:rPr>
          <w:rFonts w:cs="Arial"/>
          <w:lang w:val="en-GB"/>
        </w:rPr>
        <w:t xml:space="preserve"> and </w:t>
      </w:r>
      <w:r w:rsidRPr="00DC2F84">
        <w:rPr>
          <w:rStyle w:val="Style1Char"/>
        </w:rPr>
        <w:t>SubTx &amp; SS Technical Loss</w:t>
      </w:r>
      <w:r>
        <w:rPr>
          <w:rFonts w:cs="Arial"/>
          <w:lang w:val="en-GB"/>
        </w:rPr>
        <w:t xml:space="preserve">. </w:t>
      </w:r>
      <w:r w:rsidR="004A3FDB">
        <w:rPr>
          <w:rFonts w:cs="Arial"/>
          <w:lang w:val="en-GB"/>
        </w:rPr>
        <w:t>However, i</w:t>
      </w:r>
      <w:r w:rsidR="0031349E" w:rsidRPr="0031349E">
        <w:rPr>
          <w:rFonts w:cs="Arial"/>
          <w:lang w:val="en-GB"/>
        </w:rPr>
        <w:t xml:space="preserve">f there is no System Loss segregation in place, input the entire quantity to </w:t>
      </w:r>
      <w:r w:rsidR="0031349E" w:rsidRPr="0031349E">
        <w:rPr>
          <w:rStyle w:val="Style1Char"/>
        </w:rPr>
        <w:t>Feeder Technical Loss</w:t>
      </w:r>
      <w:r w:rsidR="0031349E" w:rsidRPr="0031349E">
        <w:rPr>
          <w:rFonts w:cs="Arial"/>
          <w:lang w:val="en-GB"/>
        </w:rPr>
        <w:t xml:space="preserve">. Likewise, input the entire quantity to </w:t>
      </w:r>
      <w:r w:rsidR="0031349E" w:rsidRPr="0031349E">
        <w:rPr>
          <w:rStyle w:val="Style1Char"/>
        </w:rPr>
        <w:t>Feeder Technical Loss</w:t>
      </w:r>
      <w:r w:rsidR="0031349E" w:rsidRPr="0031349E">
        <w:rPr>
          <w:rFonts w:cs="Arial"/>
          <w:lang w:val="en-GB"/>
        </w:rPr>
        <w:t xml:space="preserve"> if the technical component of System Loss is known but cannot be segregated further. For such cases, include the necessary narrative to the draft PSPP.</w:t>
      </w:r>
    </w:p>
    <w:p w:rsidR="00D53DBB" w:rsidRDefault="00D53DBB" w:rsidP="00640A96">
      <w:pPr>
        <w:tabs>
          <w:tab w:val="left" w:pos="3540"/>
        </w:tabs>
        <w:rPr>
          <w:rFonts w:cs="Arial"/>
          <w:lang w:val="en-GB"/>
        </w:rPr>
      </w:pPr>
    </w:p>
    <w:p w:rsidR="00640A96" w:rsidRDefault="00640A96" w:rsidP="00640A96">
      <w:pPr>
        <w:tabs>
          <w:tab w:val="left" w:pos="3540"/>
        </w:tabs>
        <w:rPr>
          <w:rFonts w:cs="Arial"/>
          <w:lang w:val="en-GB"/>
        </w:rPr>
      </w:pPr>
      <w:r>
        <w:rPr>
          <w:rFonts w:cs="Arial"/>
          <w:lang w:val="en-GB"/>
        </w:rPr>
        <w:t xml:space="preserve">Any imbalance between the sum of </w:t>
      </w:r>
      <w:r w:rsidRPr="00640A96">
        <w:rPr>
          <w:rStyle w:val="Style1Char"/>
        </w:rPr>
        <w:t>Contracted MWh</w:t>
      </w:r>
      <w:r w:rsidRPr="00640A96">
        <w:rPr>
          <w:rFonts w:cs="Arial"/>
          <w:lang w:val="en-GB"/>
        </w:rPr>
        <w:t xml:space="preserve"> for PSA</w:t>
      </w:r>
      <w:r>
        <w:rPr>
          <w:rFonts w:cs="Arial"/>
          <w:lang w:val="en-GB"/>
        </w:rPr>
        <w:t xml:space="preserve">, </w:t>
      </w:r>
      <w:r w:rsidRPr="00640A96">
        <w:rPr>
          <w:rStyle w:val="Style1Char"/>
        </w:rPr>
        <w:t>Pending MWh</w:t>
      </w:r>
      <w:r w:rsidRPr="00640A96">
        <w:rPr>
          <w:rFonts w:cs="Arial"/>
          <w:lang w:val="en-GB"/>
        </w:rPr>
        <w:t xml:space="preserve"> for PSA</w:t>
      </w:r>
      <w:r>
        <w:rPr>
          <w:rFonts w:cs="Arial"/>
          <w:lang w:val="en-GB"/>
        </w:rPr>
        <w:t xml:space="preserve">, </w:t>
      </w:r>
      <w:r w:rsidRPr="00640A96">
        <w:rPr>
          <w:rStyle w:val="Style1Char"/>
        </w:rPr>
        <w:t>Planned MWh</w:t>
      </w:r>
      <w:r w:rsidRPr="00640A96">
        <w:rPr>
          <w:rFonts w:cs="Arial"/>
          <w:lang w:val="en-GB"/>
        </w:rPr>
        <w:t xml:space="preserve"> for PSA</w:t>
      </w:r>
      <w:r>
        <w:rPr>
          <w:rFonts w:cs="Arial"/>
          <w:lang w:val="en-GB"/>
        </w:rPr>
        <w:t xml:space="preserve">, </w:t>
      </w:r>
      <w:r w:rsidRPr="00640A96">
        <w:rPr>
          <w:rStyle w:val="Style1Char"/>
        </w:rPr>
        <w:t>WESM</w:t>
      </w:r>
      <w:r>
        <w:rPr>
          <w:rFonts w:cs="Arial"/>
          <w:lang w:val="en-GB"/>
        </w:rPr>
        <w:t xml:space="preserve">, </w:t>
      </w:r>
      <w:r w:rsidR="00C52D0D" w:rsidRPr="00C52D0D">
        <w:rPr>
          <w:rStyle w:val="Style1Char"/>
        </w:rPr>
        <w:t>S4R as Buyer</w:t>
      </w:r>
      <w:r w:rsidR="00C52D0D">
        <w:rPr>
          <w:rFonts w:cs="Arial"/>
          <w:lang w:val="en-GB"/>
        </w:rPr>
        <w:t xml:space="preserve">, </w:t>
      </w:r>
      <w:r w:rsidR="00C52D0D" w:rsidRPr="00C52D0D">
        <w:rPr>
          <w:rStyle w:val="Style1Char"/>
        </w:rPr>
        <w:t>Retail Electricity Suppliers MWh</w:t>
      </w:r>
      <w:r w:rsidR="00C52D0D">
        <w:rPr>
          <w:rFonts w:cs="Arial"/>
          <w:lang w:val="en-GB"/>
        </w:rPr>
        <w:t xml:space="preserve">, </w:t>
      </w:r>
      <w:r w:rsidR="00C52D0D" w:rsidRPr="00C52D0D">
        <w:rPr>
          <w:rStyle w:val="Style1Char"/>
        </w:rPr>
        <w:t>Net Metering Customers</w:t>
      </w:r>
      <w:r w:rsidR="00C52D0D">
        <w:rPr>
          <w:rFonts w:cs="Arial"/>
          <w:lang w:val="en-GB"/>
        </w:rPr>
        <w:t xml:space="preserve">, and </w:t>
      </w:r>
      <w:r w:rsidR="00C52D0D" w:rsidRPr="00C52D0D">
        <w:rPr>
          <w:rStyle w:val="Style1Char"/>
        </w:rPr>
        <w:t>Self-generation Facilities</w:t>
      </w:r>
      <w:r>
        <w:rPr>
          <w:rFonts w:cs="Arial"/>
          <w:lang w:val="en-GB"/>
        </w:rPr>
        <w:t xml:space="preserve"> and the sum of </w:t>
      </w:r>
      <w:r w:rsidR="00C52D0D">
        <w:rPr>
          <w:rStyle w:val="Style1Char"/>
        </w:rPr>
        <w:t>MWh Sales (Old)</w:t>
      </w:r>
      <w:r w:rsidRPr="008758AD">
        <w:rPr>
          <w:rFonts w:cs="Arial"/>
          <w:lang w:val="en-GB"/>
        </w:rPr>
        <w:t xml:space="preserve">, </w:t>
      </w:r>
      <w:r w:rsidR="00C52D0D">
        <w:rPr>
          <w:rStyle w:val="Style1Char"/>
        </w:rPr>
        <w:t>S4R as Seller</w:t>
      </w:r>
      <w:r w:rsidRPr="008758AD">
        <w:rPr>
          <w:rFonts w:cs="Arial"/>
          <w:lang w:val="en-GB"/>
        </w:rPr>
        <w:t xml:space="preserve">, </w:t>
      </w:r>
      <w:r w:rsidRPr="008758AD">
        <w:rPr>
          <w:rStyle w:val="Style1Char"/>
        </w:rPr>
        <w:t>Own Use</w:t>
      </w:r>
      <w:r>
        <w:rPr>
          <w:rFonts w:cs="Arial"/>
          <w:lang w:val="en-GB"/>
        </w:rPr>
        <w:t xml:space="preserve">, </w:t>
      </w:r>
      <w:r w:rsidR="00C52D0D" w:rsidRPr="00C52D0D">
        <w:rPr>
          <w:rStyle w:val="Style1Char"/>
        </w:rPr>
        <w:t>Switched Contestable Customers</w:t>
      </w:r>
      <w:r w:rsidR="00C52D0D">
        <w:rPr>
          <w:rFonts w:cs="Arial"/>
          <w:lang w:val="en-GB"/>
        </w:rPr>
        <w:t xml:space="preserve">, </w:t>
      </w:r>
      <w:r w:rsidR="00C52D0D" w:rsidRPr="00C52D0D">
        <w:rPr>
          <w:rStyle w:val="Style1Char"/>
        </w:rPr>
        <w:t>Feeder</w:t>
      </w:r>
      <w:r w:rsidR="00C52D0D">
        <w:rPr>
          <w:rFonts w:cs="Arial"/>
          <w:lang w:val="en-GB"/>
        </w:rPr>
        <w:t xml:space="preserve"> </w:t>
      </w:r>
      <w:r w:rsidRPr="008758AD">
        <w:rPr>
          <w:rStyle w:val="Style1Char"/>
        </w:rPr>
        <w:t>Tech</w:t>
      </w:r>
      <w:r w:rsidR="00B37E6A">
        <w:rPr>
          <w:rStyle w:val="Style1Char"/>
        </w:rPr>
        <w:t>nical</w:t>
      </w:r>
      <w:r w:rsidRPr="008758AD">
        <w:rPr>
          <w:rStyle w:val="Style1Char"/>
        </w:rPr>
        <w:t xml:space="preserve"> Loss</w:t>
      </w:r>
      <w:r>
        <w:rPr>
          <w:rFonts w:cs="Arial"/>
          <w:lang w:val="en-GB"/>
        </w:rPr>
        <w:t xml:space="preserve">, </w:t>
      </w:r>
      <w:r w:rsidR="00C52D0D" w:rsidRPr="00C52D0D">
        <w:rPr>
          <w:rStyle w:val="Style1Char"/>
        </w:rPr>
        <w:t>SubTx &amp; SS Technical Loss</w:t>
      </w:r>
      <w:r w:rsidR="00C52D0D">
        <w:rPr>
          <w:rFonts w:cs="Arial"/>
          <w:lang w:val="en-GB"/>
        </w:rPr>
        <w:t xml:space="preserve">, </w:t>
      </w:r>
      <w:r>
        <w:rPr>
          <w:rFonts w:cs="Arial"/>
          <w:lang w:val="en-GB"/>
        </w:rPr>
        <w:t xml:space="preserve">and </w:t>
      </w:r>
      <w:r w:rsidRPr="008758AD">
        <w:rPr>
          <w:rStyle w:val="Style1Char"/>
        </w:rPr>
        <w:t>Non-tech</w:t>
      </w:r>
      <w:r w:rsidR="00B37E6A">
        <w:rPr>
          <w:rStyle w:val="Style1Char"/>
        </w:rPr>
        <w:t>nical</w:t>
      </w:r>
      <w:r w:rsidRPr="008758AD">
        <w:rPr>
          <w:rStyle w:val="Style1Char"/>
        </w:rPr>
        <w:t xml:space="preserve"> Loss</w:t>
      </w:r>
      <w:r>
        <w:rPr>
          <w:rFonts w:cs="Arial"/>
          <w:lang w:val="en-GB"/>
        </w:rPr>
        <w:t xml:space="preserve"> will be reflected as a non-zero value in </w:t>
      </w:r>
      <w:r w:rsidR="00C52D0D" w:rsidRPr="00C52D0D">
        <w:rPr>
          <w:rStyle w:val="Style1Char"/>
        </w:rPr>
        <w:t>MWh (Output + Loss - Offtake)</w:t>
      </w:r>
      <w:r>
        <w:rPr>
          <w:rFonts w:cs="Arial"/>
          <w:lang w:val="en-GB"/>
        </w:rPr>
        <w:t xml:space="preserve"> below the table. The </w:t>
      </w:r>
      <w:r w:rsidR="00C52D0D">
        <w:rPr>
          <w:rFonts w:cs="Arial"/>
          <w:lang w:val="en-GB"/>
        </w:rPr>
        <w:t xml:space="preserve">corresponding cell </w:t>
      </w:r>
      <w:r>
        <w:rPr>
          <w:rFonts w:cs="Arial"/>
          <w:lang w:val="en-GB"/>
        </w:rPr>
        <w:t>will be colored b</w:t>
      </w:r>
      <w:r w:rsidRPr="008758AD">
        <w:rPr>
          <w:rFonts w:cs="Arial"/>
          <w:lang w:val="en-GB"/>
        </w:rPr>
        <w:t xml:space="preserve">lue </w:t>
      </w:r>
      <w:r>
        <w:rPr>
          <w:rFonts w:cs="Arial"/>
          <w:lang w:val="en-GB"/>
        </w:rPr>
        <w:t>(</w:t>
      </w:r>
      <w:r w:rsidR="00BA3661">
        <w:rPr>
          <w:rFonts w:cs="Arial"/>
          <w:lang w:val="en-GB"/>
        </w:rPr>
        <w:t>offtake</w:t>
      </w:r>
      <w:r w:rsidRPr="008758AD">
        <w:rPr>
          <w:rFonts w:cs="Arial"/>
          <w:lang w:val="en-GB"/>
        </w:rPr>
        <w:t xml:space="preserve"> excess or </w:t>
      </w:r>
      <w:r w:rsidR="00BA3661">
        <w:rPr>
          <w:rFonts w:cs="Arial"/>
          <w:lang w:val="en-GB"/>
        </w:rPr>
        <w:t>input</w:t>
      </w:r>
      <w:r w:rsidRPr="008758AD">
        <w:rPr>
          <w:rFonts w:cs="Arial"/>
          <w:lang w:val="en-GB"/>
        </w:rPr>
        <w:t xml:space="preserve"> shortfall</w:t>
      </w:r>
      <w:r>
        <w:rPr>
          <w:rFonts w:cs="Arial"/>
          <w:lang w:val="en-GB"/>
        </w:rPr>
        <w:t>) or r</w:t>
      </w:r>
      <w:r w:rsidRPr="008758AD">
        <w:rPr>
          <w:rFonts w:cs="Arial"/>
          <w:lang w:val="en-GB"/>
        </w:rPr>
        <w:t xml:space="preserve">ed </w:t>
      </w:r>
      <w:r>
        <w:rPr>
          <w:rFonts w:cs="Arial"/>
          <w:lang w:val="en-GB"/>
        </w:rPr>
        <w:t>(</w:t>
      </w:r>
      <w:r w:rsidR="00BA3661">
        <w:rPr>
          <w:rFonts w:cs="Arial"/>
          <w:lang w:val="en-GB"/>
        </w:rPr>
        <w:t>offtake</w:t>
      </w:r>
      <w:r w:rsidRPr="008758AD">
        <w:rPr>
          <w:rFonts w:cs="Arial"/>
          <w:lang w:val="en-GB"/>
        </w:rPr>
        <w:t xml:space="preserve"> shortfall or </w:t>
      </w:r>
      <w:r w:rsidR="00BA3661">
        <w:rPr>
          <w:rFonts w:cs="Arial"/>
          <w:lang w:val="en-GB"/>
        </w:rPr>
        <w:t>input</w:t>
      </w:r>
      <w:r w:rsidRPr="008758AD">
        <w:rPr>
          <w:rFonts w:cs="Arial"/>
          <w:lang w:val="en-GB"/>
        </w:rPr>
        <w:t xml:space="preserve"> excess</w:t>
      </w:r>
      <w:r>
        <w:rPr>
          <w:rFonts w:cs="Arial"/>
          <w:lang w:val="en-GB"/>
        </w:rPr>
        <w:t xml:space="preserve">). </w:t>
      </w:r>
      <w:r w:rsidR="00BA3661">
        <w:rPr>
          <w:rFonts w:cs="Arial"/>
          <w:lang w:val="en-GB"/>
        </w:rPr>
        <w:t xml:space="preserve">The same imbalance will be used to calculate </w:t>
      </w:r>
      <w:r w:rsidR="00BA3661" w:rsidRPr="00F531AB">
        <w:rPr>
          <w:rStyle w:val="Style1Char"/>
        </w:rPr>
        <w:t>Transmission Loss</w:t>
      </w:r>
      <w:r w:rsidR="00BA3661">
        <w:rPr>
          <w:rFonts w:cs="Arial"/>
          <w:lang w:val="en-GB"/>
        </w:rPr>
        <w:t xml:space="preserve">. For a correct set of data, </w:t>
      </w:r>
      <w:r w:rsidR="00BA3661" w:rsidRPr="00F531AB">
        <w:rPr>
          <w:rStyle w:val="Style1Char"/>
        </w:rPr>
        <w:t>Transmission Loss</w:t>
      </w:r>
      <w:r w:rsidR="00BA3661">
        <w:rPr>
          <w:rFonts w:cs="Arial"/>
          <w:lang w:val="en-GB"/>
        </w:rPr>
        <w:t xml:space="preserve"> will not have a negative value. As a matter of fact, it should be positive for </w:t>
      </w:r>
      <w:r w:rsidR="00721B3A">
        <w:rPr>
          <w:rFonts w:cs="Arial"/>
          <w:lang w:val="en-GB"/>
        </w:rPr>
        <w:t>most</w:t>
      </w:r>
      <w:r w:rsidR="00BA3661">
        <w:rPr>
          <w:rFonts w:cs="Arial"/>
          <w:lang w:val="en-GB"/>
        </w:rPr>
        <w:t xml:space="preserve"> Grid-connected Sectors as </w:t>
      </w:r>
      <w:r w:rsidR="00BA3661" w:rsidRPr="003D490F">
        <w:rPr>
          <w:rStyle w:val="Style1Char"/>
        </w:rPr>
        <w:t>MWh Offtake</w:t>
      </w:r>
      <w:r w:rsidR="00BA3661">
        <w:rPr>
          <w:rFonts w:cs="Arial"/>
          <w:lang w:val="en-GB"/>
        </w:rPr>
        <w:t xml:space="preserve"> is naturally higher than the sum of </w:t>
      </w:r>
      <w:r w:rsidR="00BA3661" w:rsidRPr="003D490F">
        <w:rPr>
          <w:rStyle w:val="Style1Char"/>
        </w:rPr>
        <w:t xml:space="preserve">MWh </w:t>
      </w:r>
      <w:r w:rsidR="00BA3661">
        <w:rPr>
          <w:rStyle w:val="Style1Char"/>
        </w:rPr>
        <w:t>Output</w:t>
      </w:r>
      <w:r w:rsidR="00BA3661">
        <w:rPr>
          <w:rFonts w:cs="Arial"/>
          <w:lang w:val="en-GB"/>
        </w:rPr>
        <w:t xml:space="preserve"> and </w:t>
      </w:r>
      <w:r w:rsidR="00BA3661" w:rsidRPr="00BA3661">
        <w:rPr>
          <w:rStyle w:val="Style1Char"/>
        </w:rPr>
        <w:t>MWh System Loss</w:t>
      </w:r>
      <w:r w:rsidR="00BA3661">
        <w:rPr>
          <w:rFonts w:cs="Arial"/>
          <w:lang w:val="en-GB"/>
        </w:rPr>
        <w:t>.</w:t>
      </w:r>
    </w:p>
    <w:p w:rsidR="00640A96" w:rsidRDefault="00640A96" w:rsidP="005E6834">
      <w:pPr>
        <w:tabs>
          <w:tab w:val="left" w:pos="3540"/>
        </w:tabs>
        <w:rPr>
          <w:rFonts w:cs="Arial"/>
          <w:lang w:val="en-GB"/>
        </w:rPr>
      </w:pPr>
    </w:p>
    <w:p w:rsidR="00BA3661" w:rsidRDefault="00BA3661" w:rsidP="00BA3661">
      <w:pPr>
        <w:tabs>
          <w:tab w:val="left" w:pos="3540"/>
        </w:tabs>
        <w:rPr>
          <w:rFonts w:cs="Arial"/>
          <w:lang w:val="en-GB"/>
        </w:rPr>
      </w:pPr>
      <w:r>
        <w:rPr>
          <w:rFonts w:cs="Arial"/>
          <w:lang w:val="en-GB"/>
        </w:rPr>
        <w:t xml:space="preserve">Any imbalance between </w:t>
      </w:r>
      <w:r>
        <w:rPr>
          <w:rStyle w:val="Style1Char"/>
        </w:rPr>
        <w:t>MWh Sales (Old)</w:t>
      </w:r>
      <w:r>
        <w:rPr>
          <w:rFonts w:cs="Arial"/>
          <w:lang w:val="en-GB"/>
        </w:rPr>
        <w:t xml:space="preserve"> and </w:t>
      </w:r>
      <w:r>
        <w:rPr>
          <w:rStyle w:val="Style1Char"/>
        </w:rPr>
        <w:t>MWh Sales (New)</w:t>
      </w:r>
      <w:r>
        <w:rPr>
          <w:rFonts w:cs="Arial"/>
          <w:lang w:val="en-GB"/>
        </w:rPr>
        <w:t xml:space="preserve"> will be reflected as a non-zero value in </w:t>
      </w:r>
      <w:r w:rsidRPr="003D490F">
        <w:rPr>
          <w:rStyle w:val="Style1Char"/>
        </w:rPr>
        <w:t>MWh Sales (New vs Old)</w:t>
      </w:r>
      <w:r>
        <w:rPr>
          <w:rFonts w:cs="Arial"/>
          <w:lang w:val="en-GB"/>
        </w:rPr>
        <w:t xml:space="preserve"> below the table. The corresponding cell will be colored b</w:t>
      </w:r>
      <w:r w:rsidRPr="008758AD">
        <w:rPr>
          <w:rFonts w:cs="Arial"/>
          <w:lang w:val="en-GB"/>
        </w:rPr>
        <w:t xml:space="preserve">lue </w:t>
      </w:r>
      <w:r>
        <w:rPr>
          <w:rFonts w:cs="Arial"/>
          <w:lang w:val="en-GB"/>
        </w:rPr>
        <w:t>(“Old”</w:t>
      </w:r>
      <w:r w:rsidRPr="008758AD">
        <w:rPr>
          <w:rFonts w:cs="Arial"/>
          <w:lang w:val="en-GB"/>
        </w:rPr>
        <w:t xml:space="preserve"> excess or </w:t>
      </w:r>
      <w:r>
        <w:rPr>
          <w:rFonts w:cs="Arial"/>
          <w:lang w:val="en-GB"/>
        </w:rPr>
        <w:t xml:space="preserve">“New” </w:t>
      </w:r>
      <w:r w:rsidRPr="008758AD">
        <w:rPr>
          <w:rFonts w:cs="Arial"/>
          <w:lang w:val="en-GB"/>
        </w:rPr>
        <w:t>shortfall</w:t>
      </w:r>
      <w:r>
        <w:rPr>
          <w:rFonts w:cs="Arial"/>
          <w:lang w:val="en-GB"/>
        </w:rPr>
        <w:t>) or r</w:t>
      </w:r>
      <w:r w:rsidRPr="008758AD">
        <w:rPr>
          <w:rFonts w:cs="Arial"/>
          <w:lang w:val="en-GB"/>
        </w:rPr>
        <w:t xml:space="preserve">ed </w:t>
      </w:r>
      <w:r>
        <w:rPr>
          <w:rFonts w:cs="Arial"/>
          <w:lang w:val="en-GB"/>
        </w:rPr>
        <w:t>(“Old”</w:t>
      </w:r>
      <w:r w:rsidRPr="008758AD">
        <w:rPr>
          <w:rFonts w:cs="Arial"/>
          <w:lang w:val="en-GB"/>
        </w:rPr>
        <w:t xml:space="preserve"> shortfall or </w:t>
      </w:r>
      <w:r>
        <w:rPr>
          <w:rFonts w:cs="Arial"/>
          <w:lang w:val="en-GB"/>
        </w:rPr>
        <w:t xml:space="preserve">“New” </w:t>
      </w:r>
      <w:r w:rsidRPr="008758AD">
        <w:rPr>
          <w:rFonts w:cs="Arial"/>
          <w:lang w:val="en-GB"/>
        </w:rPr>
        <w:t>excess</w:t>
      </w:r>
      <w:r>
        <w:rPr>
          <w:rFonts w:cs="Arial"/>
          <w:lang w:val="en-GB"/>
        </w:rPr>
        <w:t xml:space="preserve">). Regardless of any conflict, </w:t>
      </w:r>
      <w:r>
        <w:rPr>
          <w:rStyle w:val="Style1Char"/>
        </w:rPr>
        <w:t>MWh Sales (Old)</w:t>
      </w:r>
      <w:r>
        <w:rPr>
          <w:rFonts w:cs="Arial"/>
          <w:lang w:val="en-GB"/>
        </w:rPr>
        <w:t xml:space="preserve"> will </w:t>
      </w:r>
      <w:r w:rsidR="00C75002">
        <w:rPr>
          <w:rFonts w:cs="Arial"/>
          <w:lang w:val="en-GB"/>
        </w:rPr>
        <w:t>be the one used in calculations</w:t>
      </w:r>
      <w:r>
        <w:rPr>
          <w:rFonts w:cs="Arial"/>
          <w:lang w:val="en-GB"/>
        </w:rPr>
        <w:t>.</w:t>
      </w:r>
    </w:p>
    <w:p w:rsidR="00BA3661" w:rsidRDefault="00BA3661" w:rsidP="00BA3661">
      <w:pPr>
        <w:tabs>
          <w:tab w:val="left" w:pos="3540"/>
        </w:tabs>
        <w:rPr>
          <w:rFonts w:cs="Arial"/>
          <w:lang w:val="en-GB"/>
        </w:rPr>
      </w:pPr>
    </w:p>
    <w:p w:rsidR="00695BA2" w:rsidRDefault="00695BA2" w:rsidP="00BA3661">
      <w:pPr>
        <w:tabs>
          <w:tab w:val="left" w:pos="3540"/>
        </w:tabs>
        <w:rPr>
          <w:rFonts w:cs="Arial"/>
          <w:lang w:val="en-GB"/>
        </w:rPr>
      </w:pPr>
      <w:r>
        <w:rPr>
          <w:rFonts w:cs="Arial"/>
          <w:lang w:val="en-GB"/>
        </w:rPr>
        <w:t xml:space="preserve">The main differences of this sheet from </w:t>
      </w:r>
      <w:r w:rsidRPr="00695BA2">
        <w:rPr>
          <w:rStyle w:val="Style1Char"/>
        </w:rPr>
        <w:t>Hist</w:t>
      </w:r>
      <w:r>
        <w:rPr>
          <w:rFonts w:cs="Arial"/>
          <w:lang w:val="en-GB"/>
        </w:rPr>
        <w:t xml:space="preserve"> are the breakdown of </w:t>
      </w:r>
      <w:r w:rsidRPr="00695BA2">
        <w:rPr>
          <w:rStyle w:val="Style1Char"/>
        </w:rPr>
        <w:t>MWh Offtake</w:t>
      </w:r>
      <w:r>
        <w:rPr>
          <w:rFonts w:cs="Arial"/>
          <w:lang w:val="en-GB"/>
        </w:rPr>
        <w:t xml:space="preserve"> and the lack of entry for </w:t>
      </w:r>
      <w:r w:rsidRPr="00695BA2">
        <w:rPr>
          <w:rStyle w:val="Style1Char"/>
        </w:rPr>
        <w:t>MWh Input</w:t>
      </w:r>
      <w:r w:rsidRPr="00695BA2">
        <w:rPr>
          <w:rFonts w:cs="Arial"/>
          <w:lang w:val="en-GB"/>
        </w:rPr>
        <w:t xml:space="preserve">. For SIIG and S4R Sectors, the sum of the output and system loss fields shall be equal to the sum of the offtake fields. For Grid Sectors, the sum of the offtake fields shall be slightly larger to account for the difference between the offtake and the </w:t>
      </w:r>
      <w:r>
        <w:rPr>
          <w:rFonts w:cs="Arial"/>
          <w:lang w:val="en-GB"/>
        </w:rPr>
        <w:t>i</w:t>
      </w:r>
      <w:r w:rsidRPr="00695BA2">
        <w:rPr>
          <w:rFonts w:cs="Arial"/>
          <w:lang w:val="en-GB"/>
        </w:rPr>
        <w:t>nput</w:t>
      </w:r>
      <w:r>
        <w:rPr>
          <w:rFonts w:cs="Arial"/>
          <w:lang w:val="en-GB"/>
        </w:rPr>
        <w:t xml:space="preserve"> based on historical data</w:t>
      </w:r>
      <w:r w:rsidR="00987962">
        <w:rPr>
          <w:rFonts w:cs="Arial"/>
          <w:lang w:val="en-GB"/>
        </w:rPr>
        <w:t>, which is the T</w:t>
      </w:r>
      <w:r w:rsidRPr="00695BA2">
        <w:rPr>
          <w:rFonts w:cs="Arial"/>
          <w:lang w:val="en-GB"/>
        </w:rPr>
        <w:t xml:space="preserve">ransmission </w:t>
      </w:r>
      <w:r w:rsidR="00987962">
        <w:rPr>
          <w:rFonts w:cs="Arial"/>
          <w:lang w:val="en-GB"/>
        </w:rPr>
        <w:t>L</w:t>
      </w:r>
      <w:r w:rsidRPr="00695BA2">
        <w:rPr>
          <w:rFonts w:cs="Arial"/>
          <w:lang w:val="en-GB"/>
        </w:rPr>
        <w:t>oss.</w:t>
      </w:r>
    </w:p>
    <w:p w:rsidR="00695BA2" w:rsidRDefault="00695BA2" w:rsidP="00BA3661">
      <w:pPr>
        <w:tabs>
          <w:tab w:val="left" w:pos="3540"/>
        </w:tabs>
        <w:rPr>
          <w:rFonts w:cs="Arial"/>
          <w:lang w:val="en-GB"/>
        </w:rPr>
      </w:pPr>
    </w:p>
    <w:p w:rsidR="00591923" w:rsidRDefault="00591923" w:rsidP="00591923">
      <w:pPr>
        <w:tabs>
          <w:tab w:val="left" w:pos="3540"/>
        </w:tabs>
        <w:rPr>
          <w:rFonts w:cs="Arial"/>
          <w:lang w:val="en-GB"/>
        </w:rPr>
      </w:pPr>
      <w:r w:rsidRPr="00591923">
        <w:rPr>
          <w:rFonts w:cs="Arial"/>
          <w:lang w:val="en-GB"/>
        </w:rPr>
        <w:t xml:space="preserve">Populate the input fields as applicable. </w:t>
      </w:r>
      <w:r w:rsidR="00C23234">
        <w:rPr>
          <w:rFonts w:cs="Arial"/>
          <w:lang w:val="en-GB"/>
        </w:rPr>
        <w:t xml:space="preserve">To check for </w:t>
      </w:r>
      <w:r w:rsidR="00F2326C">
        <w:rPr>
          <w:rFonts w:cs="Arial"/>
          <w:lang w:val="en-GB"/>
        </w:rPr>
        <w:t>correctness, save the file</w:t>
      </w:r>
      <w:r w:rsidRPr="00591923">
        <w:rPr>
          <w:rFonts w:cs="Arial"/>
          <w:lang w:val="en-GB"/>
        </w:rPr>
        <w:t xml:space="preserve"> then hit </w:t>
      </w:r>
      <w:r w:rsidRPr="00591923">
        <w:rPr>
          <w:noProof/>
        </w:rPr>
        <w:drawing>
          <wp:inline distT="0" distB="0" distL="0" distR="0" wp14:anchorId="59C04D06" wp14:editId="4157B439">
            <wp:extent cx="171429" cy="8571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429" cy="85714"/>
                    </a:xfrm>
                    <a:prstGeom prst="rect">
                      <a:avLst/>
                    </a:prstGeom>
                  </pic:spPr>
                </pic:pic>
              </a:graphicData>
            </a:graphic>
          </wp:inline>
        </w:drawing>
      </w:r>
      <w:r w:rsidRPr="00591923">
        <w:rPr>
          <w:lang w:val="en-GB"/>
        </w:rPr>
        <w:t xml:space="preserve">. </w:t>
      </w:r>
      <w:r w:rsidRPr="00591923">
        <w:rPr>
          <w:rFonts w:cs="Arial"/>
          <w:lang w:val="en-GB"/>
        </w:rPr>
        <w:t>To clear the contents of the table, click the Clear button.</w:t>
      </w:r>
    </w:p>
    <w:p w:rsidR="00EA0974" w:rsidRDefault="00EA0974" w:rsidP="005E6834">
      <w:pPr>
        <w:tabs>
          <w:tab w:val="left" w:pos="3540"/>
        </w:tabs>
        <w:rPr>
          <w:rFonts w:cs="Arial"/>
          <w:lang w:val="en-GB"/>
        </w:rPr>
      </w:pPr>
    </w:p>
    <w:p w:rsidR="00930E92" w:rsidRDefault="00930E92" w:rsidP="005E6834">
      <w:pPr>
        <w:tabs>
          <w:tab w:val="left" w:pos="3540"/>
        </w:tabs>
        <w:rPr>
          <w:rFonts w:cs="Arial"/>
          <w:lang w:val="en-GB"/>
        </w:rPr>
      </w:pPr>
      <w:r>
        <w:rPr>
          <w:rFonts w:cs="Arial"/>
          <w:lang w:val="en-GB"/>
        </w:rPr>
        <w:t xml:space="preserve">Clicking </w:t>
      </w:r>
      <w:r w:rsidRPr="00591923">
        <w:rPr>
          <w:noProof/>
        </w:rPr>
        <w:drawing>
          <wp:inline distT="0" distB="0" distL="0" distR="0" wp14:anchorId="5CA9CEC4" wp14:editId="796E09CB">
            <wp:extent cx="171429" cy="85714"/>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429" cy="85714"/>
                    </a:xfrm>
                    <a:prstGeom prst="rect">
                      <a:avLst/>
                    </a:prstGeom>
                  </pic:spPr>
                </pic:pic>
              </a:graphicData>
            </a:graphic>
          </wp:inline>
        </w:drawing>
      </w:r>
      <w:r>
        <w:rPr>
          <w:rFonts w:cs="Arial"/>
          <w:lang w:val="en-GB"/>
        </w:rPr>
        <w:t xml:space="preserve"> for Sheet </w:t>
      </w:r>
      <w:r>
        <w:rPr>
          <w:rStyle w:val="Style1Char"/>
        </w:rPr>
        <w:t>Forc</w:t>
      </w:r>
      <w:r>
        <w:rPr>
          <w:rFonts w:cs="Arial"/>
          <w:lang w:val="en-GB"/>
        </w:rPr>
        <w:t xml:space="preserve"> yields a summary window if there are no errors, or an error message if there is a text value where none should be.</w:t>
      </w:r>
    </w:p>
    <w:sectPr w:rsidR="00930E92" w:rsidSect="001438F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78E" w:rsidRDefault="0029178E" w:rsidP="00C05D63">
      <w:r>
        <w:separator/>
      </w:r>
    </w:p>
  </w:endnote>
  <w:endnote w:type="continuationSeparator" w:id="0">
    <w:p w:rsidR="0029178E" w:rsidRDefault="0029178E" w:rsidP="00C0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78E" w:rsidRDefault="0029178E" w:rsidP="00C05D63">
      <w:r>
        <w:separator/>
      </w:r>
    </w:p>
  </w:footnote>
  <w:footnote w:type="continuationSeparator" w:id="0">
    <w:p w:rsidR="0029178E" w:rsidRDefault="0029178E" w:rsidP="00C05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3477"/>
    <w:multiLevelType w:val="hybridMultilevel"/>
    <w:tmpl w:val="E4C4C2A8"/>
    <w:lvl w:ilvl="0" w:tplc="639A62FC">
      <w:start w:val="1"/>
      <w:numFmt w:val="bullet"/>
      <w:lvlText w:val=""/>
      <w:lvlJc w:val="left"/>
      <w:pPr>
        <w:tabs>
          <w:tab w:val="num" w:pos="720"/>
        </w:tabs>
        <w:ind w:left="720" w:hanging="360"/>
      </w:pPr>
      <w:rPr>
        <w:rFonts w:ascii="Wingdings" w:hAnsi="Wingdings" w:hint="default"/>
      </w:rPr>
    </w:lvl>
    <w:lvl w:ilvl="1" w:tplc="CE90E86E" w:tentative="1">
      <w:start w:val="1"/>
      <w:numFmt w:val="bullet"/>
      <w:lvlText w:val=""/>
      <w:lvlJc w:val="left"/>
      <w:pPr>
        <w:tabs>
          <w:tab w:val="num" w:pos="1440"/>
        </w:tabs>
        <w:ind w:left="1440" w:hanging="360"/>
      </w:pPr>
      <w:rPr>
        <w:rFonts w:ascii="Wingdings" w:hAnsi="Wingdings" w:hint="default"/>
      </w:rPr>
    </w:lvl>
    <w:lvl w:ilvl="2" w:tplc="813C81D6" w:tentative="1">
      <w:start w:val="1"/>
      <w:numFmt w:val="bullet"/>
      <w:lvlText w:val=""/>
      <w:lvlJc w:val="left"/>
      <w:pPr>
        <w:tabs>
          <w:tab w:val="num" w:pos="2160"/>
        </w:tabs>
        <w:ind w:left="2160" w:hanging="360"/>
      </w:pPr>
      <w:rPr>
        <w:rFonts w:ascii="Wingdings" w:hAnsi="Wingdings" w:hint="default"/>
      </w:rPr>
    </w:lvl>
    <w:lvl w:ilvl="3" w:tplc="7D2EEE3C" w:tentative="1">
      <w:start w:val="1"/>
      <w:numFmt w:val="bullet"/>
      <w:lvlText w:val=""/>
      <w:lvlJc w:val="left"/>
      <w:pPr>
        <w:tabs>
          <w:tab w:val="num" w:pos="2880"/>
        </w:tabs>
        <w:ind w:left="2880" w:hanging="360"/>
      </w:pPr>
      <w:rPr>
        <w:rFonts w:ascii="Wingdings" w:hAnsi="Wingdings" w:hint="default"/>
      </w:rPr>
    </w:lvl>
    <w:lvl w:ilvl="4" w:tplc="3148F826" w:tentative="1">
      <w:start w:val="1"/>
      <w:numFmt w:val="bullet"/>
      <w:lvlText w:val=""/>
      <w:lvlJc w:val="left"/>
      <w:pPr>
        <w:tabs>
          <w:tab w:val="num" w:pos="3600"/>
        </w:tabs>
        <w:ind w:left="3600" w:hanging="360"/>
      </w:pPr>
      <w:rPr>
        <w:rFonts w:ascii="Wingdings" w:hAnsi="Wingdings" w:hint="default"/>
      </w:rPr>
    </w:lvl>
    <w:lvl w:ilvl="5" w:tplc="4CACF276" w:tentative="1">
      <w:start w:val="1"/>
      <w:numFmt w:val="bullet"/>
      <w:lvlText w:val=""/>
      <w:lvlJc w:val="left"/>
      <w:pPr>
        <w:tabs>
          <w:tab w:val="num" w:pos="4320"/>
        </w:tabs>
        <w:ind w:left="4320" w:hanging="360"/>
      </w:pPr>
      <w:rPr>
        <w:rFonts w:ascii="Wingdings" w:hAnsi="Wingdings" w:hint="default"/>
      </w:rPr>
    </w:lvl>
    <w:lvl w:ilvl="6" w:tplc="48B0E646" w:tentative="1">
      <w:start w:val="1"/>
      <w:numFmt w:val="bullet"/>
      <w:lvlText w:val=""/>
      <w:lvlJc w:val="left"/>
      <w:pPr>
        <w:tabs>
          <w:tab w:val="num" w:pos="5040"/>
        </w:tabs>
        <w:ind w:left="5040" w:hanging="360"/>
      </w:pPr>
      <w:rPr>
        <w:rFonts w:ascii="Wingdings" w:hAnsi="Wingdings" w:hint="default"/>
      </w:rPr>
    </w:lvl>
    <w:lvl w:ilvl="7" w:tplc="CDA022DA" w:tentative="1">
      <w:start w:val="1"/>
      <w:numFmt w:val="bullet"/>
      <w:lvlText w:val=""/>
      <w:lvlJc w:val="left"/>
      <w:pPr>
        <w:tabs>
          <w:tab w:val="num" w:pos="5760"/>
        </w:tabs>
        <w:ind w:left="5760" w:hanging="360"/>
      </w:pPr>
      <w:rPr>
        <w:rFonts w:ascii="Wingdings" w:hAnsi="Wingdings" w:hint="default"/>
      </w:rPr>
    </w:lvl>
    <w:lvl w:ilvl="8" w:tplc="8482FF24" w:tentative="1">
      <w:start w:val="1"/>
      <w:numFmt w:val="bullet"/>
      <w:lvlText w:val=""/>
      <w:lvlJc w:val="left"/>
      <w:pPr>
        <w:tabs>
          <w:tab w:val="num" w:pos="6480"/>
        </w:tabs>
        <w:ind w:left="6480" w:hanging="360"/>
      </w:pPr>
      <w:rPr>
        <w:rFonts w:ascii="Wingdings" w:hAnsi="Wingdings" w:hint="default"/>
      </w:rPr>
    </w:lvl>
  </w:abstractNum>
  <w:abstractNum w:abstractNumId="1">
    <w:nsid w:val="0D507800"/>
    <w:multiLevelType w:val="hybridMultilevel"/>
    <w:tmpl w:val="B8563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0442E"/>
    <w:multiLevelType w:val="hybridMultilevel"/>
    <w:tmpl w:val="C508614E"/>
    <w:lvl w:ilvl="0" w:tplc="6E52C7D6">
      <w:start w:val="1"/>
      <w:numFmt w:val="bullet"/>
      <w:lvlText w:val=""/>
      <w:lvlJc w:val="left"/>
      <w:pPr>
        <w:tabs>
          <w:tab w:val="num" w:pos="720"/>
        </w:tabs>
        <w:ind w:left="720" w:hanging="360"/>
      </w:pPr>
      <w:rPr>
        <w:rFonts w:ascii="Wingdings" w:hAnsi="Wingdings" w:hint="default"/>
      </w:rPr>
    </w:lvl>
    <w:lvl w:ilvl="1" w:tplc="DDF8F2AE" w:tentative="1">
      <w:start w:val="1"/>
      <w:numFmt w:val="bullet"/>
      <w:lvlText w:val=""/>
      <w:lvlJc w:val="left"/>
      <w:pPr>
        <w:tabs>
          <w:tab w:val="num" w:pos="1440"/>
        </w:tabs>
        <w:ind w:left="1440" w:hanging="360"/>
      </w:pPr>
      <w:rPr>
        <w:rFonts w:ascii="Wingdings" w:hAnsi="Wingdings" w:hint="default"/>
      </w:rPr>
    </w:lvl>
    <w:lvl w:ilvl="2" w:tplc="9FC4B53C" w:tentative="1">
      <w:start w:val="1"/>
      <w:numFmt w:val="bullet"/>
      <w:lvlText w:val=""/>
      <w:lvlJc w:val="left"/>
      <w:pPr>
        <w:tabs>
          <w:tab w:val="num" w:pos="2160"/>
        </w:tabs>
        <w:ind w:left="2160" w:hanging="360"/>
      </w:pPr>
      <w:rPr>
        <w:rFonts w:ascii="Wingdings" w:hAnsi="Wingdings" w:hint="default"/>
      </w:rPr>
    </w:lvl>
    <w:lvl w:ilvl="3" w:tplc="686697BA" w:tentative="1">
      <w:start w:val="1"/>
      <w:numFmt w:val="bullet"/>
      <w:lvlText w:val=""/>
      <w:lvlJc w:val="left"/>
      <w:pPr>
        <w:tabs>
          <w:tab w:val="num" w:pos="2880"/>
        </w:tabs>
        <w:ind w:left="2880" w:hanging="360"/>
      </w:pPr>
      <w:rPr>
        <w:rFonts w:ascii="Wingdings" w:hAnsi="Wingdings" w:hint="default"/>
      </w:rPr>
    </w:lvl>
    <w:lvl w:ilvl="4" w:tplc="4208B6D8" w:tentative="1">
      <w:start w:val="1"/>
      <w:numFmt w:val="bullet"/>
      <w:lvlText w:val=""/>
      <w:lvlJc w:val="left"/>
      <w:pPr>
        <w:tabs>
          <w:tab w:val="num" w:pos="3600"/>
        </w:tabs>
        <w:ind w:left="3600" w:hanging="360"/>
      </w:pPr>
      <w:rPr>
        <w:rFonts w:ascii="Wingdings" w:hAnsi="Wingdings" w:hint="default"/>
      </w:rPr>
    </w:lvl>
    <w:lvl w:ilvl="5" w:tplc="191CC258" w:tentative="1">
      <w:start w:val="1"/>
      <w:numFmt w:val="bullet"/>
      <w:lvlText w:val=""/>
      <w:lvlJc w:val="left"/>
      <w:pPr>
        <w:tabs>
          <w:tab w:val="num" w:pos="4320"/>
        </w:tabs>
        <w:ind w:left="4320" w:hanging="360"/>
      </w:pPr>
      <w:rPr>
        <w:rFonts w:ascii="Wingdings" w:hAnsi="Wingdings" w:hint="default"/>
      </w:rPr>
    </w:lvl>
    <w:lvl w:ilvl="6" w:tplc="3F9E0E86" w:tentative="1">
      <w:start w:val="1"/>
      <w:numFmt w:val="bullet"/>
      <w:lvlText w:val=""/>
      <w:lvlJc w:val="left"/>
      <w:pPr>
        <w:tabs>
          <w:tab w:val="num" w:pos="5040"/>
        </w:tabs>
        <w:ind w:left="5040" w:hanging="360"/>
      </w:pPr>
      <w:rPr>
        <w:rFonts w:ascii="Wingdings" w:hAnsi="Wingdings" w:hint="default"/>
      </w:rPr>
    </w:lvl>
    <w:lvl w:ilvl="7" w:tplc="96165D24" w:tentative="1">
      <w:start w:val="1"/>
      <w:numFmt w:val="bullet"/>
      <w:lvlText w:val=""/>
      <w:lvlJc w:val="left"/>
      <w:pPr>
        <w:tabs>
          <w:tab w:val="num" w:pos="5760"/>
        </w:tabs>
        <w:ind w:left="5760" w:hanging="360"/>
      </w:pPr>
      <w:rPr>
        <w:rFonts w:ascii="Wingdings" w:hAnsi="Wingdings" w:hint="default"/>
      </w:rPr>
    </w:lvl>
    <w:lvl w:ilvl="8" w:tplc="851027E6" w:tentative="1">
      <w:start w:val="1"/>
      <w:numFmt w:val="bullet"/>
      <w:lvlText w:val=""/>
      <w:lvlJc w:val="left"/>
      <w:pPr>
        <w:tabs>
          <w:tab w:val="num" w:pos="6480"/>
        </w:tabs>
        <w:ind w:left="6480" w:hanging="360"/>
      </w:pPr>
      <w:rPr>
        <w:rFonts w:ascii="Wingdings" w:hAnsi="Wingdings" w:hint="default"/>
      </w:rPr>
    </w:lvl>
  </w:abstractNum>
  <w:abstractNum w:abstractNumId="3">
    <w:nsid w:val="173C7C23"/>
    <w:multiLevelType w:val="hybridMultilevel"/>
    <w:tmpl w:val="20221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D5163"/>
    <w:multiLevelType w:val="hybridMultilevel"/>
    <w:tmpl w:val="29561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85514"/>
    <w:multiLevelType w:val="hybridMultilevel"/>
    <w:tmpl w:val="29309DB4"/>
    <w:lvl w:ilvl="0" w:tplc="76C27DB6">
      <w:start w:val="7"/>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29F37A45"/>
    <w:multiLevelType w:val="hybridMultilevel"/>
    <w:tmpl w:val="F230D3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DB5DE2"/>
    <w:multiLevelType w:val="hybridMultilevel"/>
    <w:tmpl w:val="D5CC8B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5444B"/>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6469EE"/>
    <w:multiLevelType w:val="multilevel"/>
    <w:tmpl w:val="35A0858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FFA4DFA"/>
    <w:multiLevelType w:val="hybridMultilevel"/>
    <w:tmpl w:val="5D4471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0038"/>
    <w:multiLevelType w:val="hybridMultilevel"/>
    <w:tmpl w:val="1E24BF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E073AB"/>
    <w:multiLevelType w:val="hybridMultilevel"/>
    <w:tmpl w:val="8C88CB3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5125F"/>
    <w:multiLevelType w:val="hybridMultilevel"/>
    <w:tmpl w:val="F16C77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242F24"/>
    <w:multiLevelType w:val="hybridMultilevel"/>
    <w:tmpl w:val="7E724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E4112"/>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D8360F"/>
    <w:multiLevelType w:val="hybridMultilevel"/>
    <w:tmpl w:val="3C840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1E52BC"/>
    <w:multiLevelType w:val="hybridMultilevel"/>
    <w:tmpl w:val="599050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0E260C"/>
    <w:multiLevelType w:val="hybridMultilevel"/>
    <w:tmpl w:val="881E66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B5769"/>
    <w:multiLevelType w:val="hybridMultilevel"/>
    <w:tmpl w:val="3C3C15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370A1"/>
    <w:multiLevelType w:val="hybridMultilevel"/>
    <w:tmpl w:val="DF64AA4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3A3AB0"/>
    <w:multiLevelType w:val="hybridMultilevel"/>
    <w:tmpl w:val="1EB452F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F66537"/>
    <w:multiLevelType w:val="hybridMultilevel"/>
    <w:tmpl w:val="5D3A0D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D235F0"/>
    <w:multiLevelType w:val="hybridMultilevel"/>
    <w:tmpl w:val="4AE6E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B62435"/>
    <w:multiLevelType w:val="hybridMultilevel"/>
    <w:tmpl w:val="74E61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20"/>
  </w:num>
  <w:num w:numId="4">
    <w:abstractNumId w:val="11"/>
  </w:num>
  <w:num w:numId="5">
    <w:abstractNumId w:val="5"/>
  </w:num>
  <w:num w:numId="6">
    <w:abstractNumId w:val="16"/>
  </w:num>
  <w:num w:numId="7">
    <w:abstractNumId w:val="19"/>
  </w:num>
  <w:num w:numId="8">
    <w:abstractNumId w:val="7"/>
  </w:num>
  <w:num w:numId="9">
    <w:abstractNumId w:val="17"/>
  </w:num>
  <w:num w:numId="10">
    <w:abstractNumId w:val="18"/>
  </w:num>
  <w:num w:numId="11">
    <w:abstractNumId w:val="6"/>
  </w:num>
  <w:num w:numId="12">
    <w:abstractNumId w:val="14"/>
  </w:num>
  <w:num w:numId="13">
    <w:abstractNumId w:val="4"/>
  </w:num>
  <w:num w:numId="14">
    <w:abstractNumId w:val="10"/>
  </w:num>
  <w:num w:numId="15">
    <w:abstractNumId w:val="13"/>
  </w:num>
  <w:num w:numId="16">
    <w:abstractNumId w:val="1"/>
  </w:num>
  <w:num w:numId="17">
    <w:abstractNumId w:val="22"/>
  </w:num>
  <w:num w:numId="18">
    <w:abstractNumId w:val="2"/>
  </w:num>
  <w:num w:numId="19">
    <w:abstractNumId w:val="12"/>
  </w:num>
  <w:num w:numId="20">
    <w:abstractNumId w:val="0"/>
  </w:num>
  <w:num w:numId="21">
    <w:abstractNumId w:val="21"/>
  </w:num>
  <w:num w:numId="22">
    <w:abstractNumId w:val="3"/>
  </w:num>
  <w:num w:numId="23">
    <w:abstractNumId w:val="2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CD"/>
    <w:rsid w:val="00001500"/>
    <w:rsid w:val="0000261D"/>
    <w:rsid w:val="00002893"/>
    <w:rsid w:val="00003A81"/>
    <w:rsid w:val="000045BC"/>
    <w:rsid w:val="000311FE"/>
    <w:rsid w:val="00031616"/>
    <w:rsid w:val="00035BD1"/>
    <w:rsid w:val="00041919"/>
    <w:rsid w:val="000439EF"/>
    <w:rsid w:val="000447C5"/>
    <w:rsid w:val="00045EE4"/>
    <w:rsid w:val="0004743B"/>
    <w:rsid w:val="000560F2"/>
    <w:rsid w:val="00061201"/>
    <w:rsid w:val="0006543E"/>
    <w:rsid w:val="000737F8"/>
    <w:rsid w:val="000751CD"/>
    <w:rsid w:val="00075832"/>
    <w:rsid w:val="000775AA"/>
    <w:rsid w:val="00080001"/>
    <w:rsid w:val="000803DF"/>
    <w:rsid w:val="00082BAA"/>
    <w:rsid w:val="00084521"/>
    <w:rsid w:val="00087640"/>
    <w:rsid w:val="0009329F"/>
    <w:rsid w:val="000979DE"/>
    <w:rsid w:val="000A1A9B"/>
    <w:rsid w:val="000A3509"/>
    <w:rsid w:val="000A7B8D"/>
    <w:rsid w:val="000B00A6"/>
    <w:rsid w:val="000B42D5"/>
    <w:rsid w:val="000B47E9"/>
    <w:rsid w:val="000B68C9"/>
    <w:rsid w:val="000C3812"/>
    <w:rsid w:val="000C48E9"/>
    <w:rsid w:val="000C768E"/>
    <w:rsid w:val="000D14F5"/>
    <w:rsid w:val="000D5DC0"/>
    <w:rsid w:val="000D7B70"/>
    <w:rsid w:val="000E1F30"/>
    <w:rsid w:val="000E6876"/>
    <w:rsid w:val="000F17EF"/>
    <w:rsid w:val="000F226E"/>
    <w:rsid w:val="000F34CD"/>
    <w:rsid w:val="000F7B3F"/>
    <w:rsid w:val="0010009E"/>
    <w:rsid w:val="001042C3"/>
    <w:rsid w:val="00104541"/>
    <w:rsid w:val="00110D57"/>
    <w:rsid w:val="0012222C"/>
    <w:rsid w:val="001245D6"/>
    <w:rsid w:val="00124F72"/>
    <w:rsid w:val="00125CC2"/>
    <w:rsid w:val="00132FE9"/>
    <w:rsid w:val="00134326"/>
    <w:rsid w:val="001438F0"/>
    <w:rsid w:val="00144BBC"/>
    <w:rsid w:val="00147A39"/>
    <w:rsid w:val="00150673"/>
    <w:rsid w:val="001511D3"/>
    <w:rsid w:val="0015443F"/>
    <w:rsid w:val="001573E6"/>
    <w:rsid w:val="001627A3"/>
    <w:rsid w:val="00164335"/>
    <w:rsid w:val="00166FF7"/>
    <w:rsid w:val="00171012"/>
    <w:rsid w:val="00173341"/>
    <w:rsid w:val="00175321"/>
    <w:rsid w:val="00177C9D"/>
    <w:rsid w:val="001828B1"/>
    <w:rsid w:val="00183A1C"/>
    <w:rsid w:val="00183B3B"/>
    <w:rsid w:val="001904EE"/>
    <w:rsid w:val="00193A47"/>
    <w:rsid w:val="001A49B2"/>
    <w:rsid w:val="001A7330"/>
    <w:rsid w:val="001B0698"/>
    <w:rsid w:val="001C0E7E"/>
    <w:rsid w:val="001E1498"/>
    <w:rsid w:val="001E3C9E"/>
    <w:rsid w:val="001E5B95"/>
    <w:rsid w:val="001E641D"/>
    <w:rsid w:val="001E6B92"/>
    <w:rsid w:val="001F4A58"/>
    <w:rsid w:val="001F4E64"/>
    <w:rsid w:val="001F710E"/>
    <w:rsid w:val="00203CFF"/>
    <w:rsid w:val="00205FCF"/>
    <w:rsid w:val="002077A1"/>
    <w:rsid w:val="002079C4"/>
    <w:rsid w:val="00211DC3"/>
    <w:rsid w:val="002139C6"/>
    <w:rsid w:val="00217590"/>
    <w:rsid w:val="00220205"/>
    <w:rsid w:val="00220B33"/>
    <w:rsid w:val="002218AA"/>
    <w:rsid w:val="00222264"/>
    <w:rsid w:val="002228BF"/>
    <w:rsid w:val="00230319"/>
    <w:rsid w:val="00231C23"/>
    <w:rsid w:val="00241469"/>
    <w:rsid w:val="002426E1"/>
    <w:rsid w:val="0024387D"/>
    <w:rsid w:val="00243E31"/>
    <w:rsid w:val="00246027"/>
    <w:rsid w:val="00247B74"/>
    <w:rsid w:val="00247F72"/>
    <w:rsid w:val="00253666"/>
    <w:rsid w:val="00253DA6"/>
    <w:rsid w:val="00254808"/>
    <w:rsid w:val="00254B48"/>
    <w:rsid w:val="002550E7"/>
    <w:rsid w:val="00256E8B"/>
    <w:rsid w:val="00267354"/>
    <w:rsid w:val="002728D2"/>
    <w:rsid w:val="00280AD9"/>
    <w:rsid w:val="0029178E"/>
    <w:rsid w:val="00292666"/>
    <w:rsid w:val="00293948"/>
    <w:rsid w:val="00297F1D"/>
    <w:rsid w:val="002A3116"/>
    <w:rsid w:val="002A6D23"/>
    <w:rsid w:val="002B1B6A"/>
    <w:rsid w:val="002B3004"/>
    <w:rsid w:val="002B3F83"/>
    <w:rsid w:val="002C1683"/>
    <w:rsid w:val="002C1E1C"/>
    <w:rsid w:val="002C33C3"/>
    <w:rsid w:val="002D45BF"/>
    <w:rsid w:val="002D6870"/>
    <w:rsid w:val="002E0CFC"/>
    <w:rsid w:val="002E0F27"/>
    <w:rsid w:val="002F5EEA"/>
    <w:rsid w:val="00301D78"/>
    <w:rsid w:val="003121AB"/>
    <w:rsid w:val="0031349E"/>
    <w:rsid w:val="00314E91"/>
    <w:rsid w:val="00320FF2"/>
    <w:rsid w:val="003215C4"/>
    <w:rsid w:val="00325014"/>
    <w:rsid w:val="00331EC2"/>
    <w:rsid w:val="00332F4C"/>
    <w:rsid w:val="00344E9A"/>
    <w:rsid w:val="003450F2"/>
    <w:rsid w:val="003458B1"/>
    <w:rsid w:val="003466F5"/>
    <w:rsid w:val="00362A97"/>
    <w:rsid w:val="00365CE9"/>
    <w:rsid w:val="003672BD"/>
    <w:rsid w:val="00370B34"/>
    <w:rsid w:val="003721D1"/>
    <w:rsid w:val="0037341D"/>
    <w:rsid w:val="00375B58"/>
    <w:rsid w:val="00377D90"/>
    <w:rsid w:val="0038053A"/>
    <w:rsid w:val="00390322"/>
    <w:rsid w:val="00392D57"/>
    <w:rsid w:val="00393891"/>
    <w:rsid w:val="00396DDE"/>
    <w:rsid w:val="003A3A7E"/>
    <w:rsid w:val="003C3F34"/>
    <w:rsid w:val="003C7468"/>
    <w:rsid w:val="003D490F"/>
    <w:rsid w:val="003D59E9"/>
    <w:rsid w:val="003D7576"/>
    <w:rsid w:val="003D7634"/>
    <w:rsid w:val="003E36C9"/>
    <w:rsid w:val="003E4C88"/>
    <w:rsid w:val="003F0341"/>
    <w:rsid w:val="003F2914"/>
    <w:rsid w:val="003F4AB8"/>
    <w:rsid w:val="003F7768"/>
    <w:rsid w:val="0040236C"/>
    <w:rsid w:val="00405348"/>
    <w:rsid w:val="00406BCE"/>
    <w:rsid w:val="00406ED8"/>
    <w:rsid w:val="0041432A"/>
    <w:rsid w:val="00414519"/>
    <w:rsid w:val="004146FC"/>
    <w:rsid w:val="00424649"/>
    <w:rsid w:val="00426AE6"/>
    <w:rsid w:val="00432AAC"/>
    <w:rsid w:val="00434827"/>
    <w:rsid w:val="00436C13"/>
    <w:rsid w:val="00437DAC"/>
    <w:rsid w:val="004402E6"/>
    <w:rsid w:val="0044039A"/>
    <w:rsid w:val="00440FD4"/>
    <w:rsid w:val="00444BF4"/>
    <w:rsid w:val="0044510C"/>
    <w:rsid w:val="00447534"/>
    <w:rsid w:val="00452809"/>
    <w:rsid w:val="00471397"/>
    <w:rsid w:val="00474F36"/>
    <w:rsid w:val="004754F5"/>
    <w:rsid w:val="00486925"/>
    <w:rsid w:val="00492314"/>
    <w:rsid w:val="004959CE"/>
    <w:rsid w:val="004A3FDB"/>
    <w:rsid w:val="004A55F5"/>
    <w:rsid w:val="004A5A71"/>
    <w:rsid w:val="004A7691"/>
    <w:rsid w:val="004B09CB"/>
    <w:rsid w:val="004B248F"/>
    <w:rsid w:val="004B24BD"/>
    <w:rsid w:val="004B3984"/>
    <w:rsid w:val="004C1981"/>
    <w:rsid w:val="004C7473"/>
    <w:rsid w:val="004C7559"/>
    <w:rsid w:val="004D05B3"/>
    <w:rsid w:val="004D471D"/>
    <w:rsid w:val="004D6F29"/>
    <w:rsid w:val="004D74D7"/>
    <w:rsid w:val="004D7F8B"/>
    <w:rsid w:val="004E000A"/>
    <w:rsid w:val="004E08B0"/>
    <w:rsid w:val="004E15E0"/>
    <w:rsid w:val="004E1C51"/>
    <w:rsid w:val="004E3FAB"/>
    <w:rsid w:val="004E5F35"/>
    <w:rsid w:val="004F576B"/>
    <w:rsid w:val="004F5F55"/>
    <w:rsid w:val="0050219A"/>
    <w:rsid w:val="00502A07"/>
    <w:rsid w:val="00504F82"/>
    <w:rsid w:val="005063DB"/>
    <w:rsid w:val="005067C0"/>
    <w:rsid w:val="00507EA1"/>
    <w:rsid w:val="00512ACC"/>
    <w:rsid w:val="00513D90"/>
    <w:rsid w:val="00514902"/>
    <w:rsid w:val="005152EF"/>
    <w:rsid w:val="00517589"/>
    <w:rsid w:val="005237CE"/>
    <w:rsid w:val="00523AD9"/>
    <w:rsid w:val="005318E6"/>
    <w:rsid w:val="005323B4"/>
    <w:rsid w:val="00545EA9"/>
    <w:rsid w:val="00552089"/>
    <w:rsid w:val="00554DE6"/>
    <w:rsid w:val="0056061D"/>
    <w:rsid w:val="00564E95"/>
    <w:rsid w:val="00570F1B"/>
    <w:rsid w:val="00582DED"/>
    <w:rsid w:val="00585E85"/>
    <w:rsid w:val="00591923"/>
    <w:rsid w:val="005945FB"/>
    <w:rsid w:val="0059640D"/>
    <w:rsid w:val="00596C1F"/>
    <w:rsid w:val="00597804"/>
    <w:rsid w:val="005A0B6F"/>
    <w:rsid w:val="005A15FF"/>
    <w:rsid w:val="005A57B0"/>
    <w:rsid w:val="005A6517"/>
    <w:rsid w:val="005A66E1"/>
    <w:rsid w:val="005B0256"/>
    <w:rsid w:val="005B6D59"/>
    <w:rsid w:val="005B7183"/>
    <w:rsid w:val="005C6023"/>
    <w:rsid w:val="005C7FB5"/>
    <w:rsid w:val="005D09A2"/>
    <w:rsid w:val="005D35DD"/>
    <w:rsid w:val="005D7C58"/>
    <w:rsid w:val="005E28CD"/>
    <w:rsid w:val="005E3F8A"/>
    <w:rsid w:val="005E64F3"/>
    <w:rsid w:val="005E6834"/>
    <w:rsid w:val="005F04C0"/>
    <w:rsid w:val="005F0A72"/>
    <w:rsid w:val="005F235B"/>
    <w:rsid w:val="005F2BDE"/>
    <w:rsid w:val="005F2C5F"/>
    <w:rsid w:val="005F43FB"/>
    <w:rsid w:val="005F45A5"/>
    <w:rsid w:val="005F7033"/>
    <w:rsid w:val="006018AF"/>
    <w:rsid w:val="00602571"/>
    <w:rsid w:val="006026D0"/>
    <w:rsid w:val="0060427A"/>
    <w:rsid w:val="00610EB3"/>
    <w:rsid w:val="00612578"/>
    <w:rsid w:val="00613144"/>
    <w:rsid w:val="00617B2D"/>
    <w:rsid w:val="00620FB6"/>
    <w:rsid w:val="00621B78"/>
    <w:rsid w:val="00625ED6"/>
    <w:rsid w:val="00634862"/>
    <w:rsid w:val="00640A96"/>
    <w:rsid w:val="00653349"/>
    <w:rsid w:val="00655ED7"/>
    <w:rsid w:val="0066291A"/>
    <w:rsid w:val="006655E3"/>
    <w:rsid w:val="00667B9A"/>
    <w:rsid w:val="00671FA6"/>
    <w:rsid w:val="00684F6D"/>
    <w:rsid w:val="00687310"/>
    <w:rsid w:val="00691AB5"/>
    <w:rsid w:val="00692737"/>
    <w:rsid w:val="00693563"/>
    <w:rsid w:val="0069396F"/>
    <w:rsid w:val="00694C9A"/>
    <w:rsid w:val="00695486"/>
    <w:rsid w:val="0069589E"/>
    <w:rsid w:val="00695BA2"/>
    <w:rsid w:val="00697302"/>
    <w:rsid w:val="006A0686"/>
    <w:rsid w:val="006A2E7C"/>
    <w:rsid w:val="006B1F6D"/>
    <w:rsid w:val="006C5035"/>
    <w:rsid w:val="006C6618"/>
    <w:rsid w:val="006C74FE"/>
    <w:rsid w:val="006D3DBF"/>
    <w:rsid w:val="006D6B5B"/>
    <w:rsid w:val="006E0F0F"/>
    <w:rsid w:val="006E5E55"/>
    <w:rsid w:val="006E6FCC"/>
    <w:rsid w:val="006E741D"/>
    <w:rsid w:val="006F0AA0"/>
    <w:rsid w:val="006F5773"/>
    <w:rsid w:val="006F7292"/>
    <w:rsid w:val="006F7672"/>
    <w:rsid w:val="0070026B"/>
    <w:rsid w:val="0070175A"/>
    <w:rsid w:val="0070235E"/>
    <w:rsid w:val="00702E40"/>
    <w:rsid w:val="00705038"/>
    <w:rsid w:val="00707758"/>
    <w:rsid w:val="007079D3"/>
    <w:rsid w:val="00712917"/>
    <w:rsid w:val="00716322"/>
    <w:rsid w:val="00721B3A"/>
    <w:rsid w:val="00722528"/>
    <w:rsid w:val="00722D78"/>
    <w:rsid w:val="00724164"/>
    <w:rsid w:val="00725BA5"/>
    <w:rsid w:val="00727B7E"/>
    <w:rsid w:val="00727ED1"/>
    <w:rsid w:val="00735663"/>
    <w:rsid w:val="00735EB0"/>
    <w:rsid w:val="00741E3D"/>
    <w:rsid w:val="00742A9A"/>
    <w:rsid w:val="00742DEB"/>
    <w:rsid w:val="00744296"/>
    <w:rsid w:val="00744FF1"/>
    <w:rsid w:val="00747426"/>
    <w:rsid w:val="007510AE"/>
    <w:rsid w:val="0076162A"/>
    <w:rsid w:val="00775AB2"/>
    <w:rsid w:val="007769CE"/>
    <w:rsid w:val="007838D9"/>
    <w:rsid w:val="007870FD"/>
    <w:rsid w:val="00787B03"/>
    <w:rsid w:val="007900A4"/>
    <w:rsid w:val="007956EE"/>
    <w:rsid w:val="007978F5"/>
    <w:rsid w:val="007A29FF"/>
    <w:rsid w:val="007A35F4"/>
    <w:rsid w:val="007A74CC"/>
    <w:rsid w:val="007B0632"/>
    <w:rsid w:val="007B63B4"/>
    <w:rsid w:val="007C24CB"/>
    <w:rsid w:val="007C26C4"/>
    <w:rsid w:val="007C6BBB"/>
    <w:rsid w:val="007C79E3"/>
    <w:rsid w:val="007D4D5A"/>
    <w:rsid w:val="007D555C"/>
    <w:rsid w:val="007D5ED8"/>
    <w:rsid w:val="007D76B9"/>
    <w:rsid w:val="007E33FC"/>
    <w:rsid w:val="007E3DB9"/>
    <w:rsid w:val="007E3FB1"/>
    <w:rsid w:val="007E4606"/>
    <w:rsid w:val="007E5AF9"/>
    <w:rsid w:val="007E5BCE"/>
    <w:rsid w:val="007E5C32"/>
    <w:rsid w:val="007F0196"/>
    <w:rsid w:val="007F497B"/>
    <w:rsid w:val="007F4A9B"/>
    <w:rsid w:val="007F65E1"/>
    <w:rsid w:val="00801B86"/>
    <w:rsid w:val="00812572"/>
    <w:rsid w:val="0081653C"/>
    <w:rsid w:val="00816F1E"/>
    <w:rsid w:val="00820283"/>
    <w:rsid w:val="008209D7"/>
    <w:rsid w:val="00824618"/>
    <w:rsid w:val="00827CF2"/>
    <w:rsid w:val="008304EB"/>
    <w:rsid w:val="008358E7"/>
    <w:rsid w:val="008373C2"/>
    <w:rsid w:val="00837B1B"/>
    <w:rsid w:val="0084191D"/>
    <w:rsid w:val="008509E3"/>
    <w:rsid w:val="00854726"/>
    <w:rsid w:val="008655C6"/>
    <w:rsid w:val="00865BBD"/>
    <w:rsid w:val="00870BAE"/>
    <w:rsid w:val="008758AD"/>
    <w:rsid w:val="008777CB"/>
    <w:rsid w:val="0088440F"/>
    <w:rsid w:val="00887B2B"/>
    <w:rsid w:val="008948DF"/>
    <w:rsid w:val="00894937"/>
    <w:rsid w:val="008975A0"/>
    <w:rsid w:val="008A0DD8"/>
    <w:rsid w:val="008A57DB"/>
    <w:rsid w:val="008A748C"/>
    <w:rsid w:val="008B3316"/>
    <w:rsid w:val="008D30E1"/>
    <w:rsid w:val="008D4D0F"/>
    <w:rsid w:val="008D72EE"/>
    <w:rsid w:val="008E1954"/>
    <w:rsid w:val="008E61D5"/>
    <w:rsid w:val="008E67F3"/>
    <w:rsid w:val="008F0444"/>
    <w:rsid w:val="008F31AA"/>
    <w:rsid w:val="008F31FB"/>
    <w:rsid w:val="00901CD4"/>
    <w:rsid w:val="00913042"/>
    <w:rsid w:val="00916F56"/>
    <w:rsid w:val="0092624F"/>
    <w:rsid w:val="00930CD5"/>
    <w:rsid w:val="00930E92"/>
    <w:rsid w:val="00931F87"/>
    <w:rsid w:val="00933B6F"/>
    <w:rsid w:val="009352D4"/>
    <w:rsid w:val="00941FD2"/>
    <w:rsid w:val="00951CC2"/>
    <w:rsid w:val="00953886"/>
    <w:rsid w:val="00961C94"/>
    <w:rsid w:val="00963697"/>
    <w:rsid w:val="00973278"/>
    <w:rsid w:val="00974A3F"/>
    <w:rsid w:val="00980CE3"/>
    <w:rsid w:val="00984938"/>
    <w:rsid w:val="00987962"/>
    <w:rsid w:val="00992DE0"/>
    <w:rsid w:val="009952BD"/>
    <w:rsid w:val="009A018C"/>
    <w:rsid w:val="009A0660"/>
    <w:rsid w:val="009B05A4"/>
    <w:rsid w:val="009B0E25"/>
    <w:rsid w:val="009B475C"/>
    <w:rsid w:val="009C0AAD"/>
    <w:rsid w:val="009C2D3A"/>
    <w:rsid w:val="009D6008"/>
    <w:rsid w:val="009E03BA"/>
    <w:rsid w:val="009E6831"/>
    <w:rsid w:val="009E69BF"/>
    <w:rsid w:val="009F41BA"/>
    <w:rsid w:val="009F45B7"/>
    <w:rsid w:val="009F5167"/>
    <w:rsid w:val="00A0747B"/>
    <w:rsid w:val="00A1244B"/>
    <w:rsid w:val="00A14930"/>
    <w:rsid w:val="00A215B7"/>
    <w:rsid w:val="00A22AB4"/>
    <w:rsid w:val="00A22F16"/>
    <w:rsid w:val="00A24602"/>
    <w:rsid w:val="00A27B92"/>
    <w:rsid w:val="00A36617"/>
    <w:rsid w:val="00A40CD5"/>
    <w:rsid w:val="00A430A1"/>
    <w:rsid w:val="00A4556D"/>
    <w:rsid w:val="00A510B4"/>
    <w:rsid w:val="00A53D00"/>
    <w:rsid w:val="00A63384"/>
    <w:rsid w:val="00A70218"/>
    <w:rsid w:val="00A73E16"/>
    <w:rsid w:val="00A74E4C"/>
    <w:rsid w:val="00A7583C"/>
    <w:rsid w:val="00A77E10"/>
    <w:rsid w:val="00A864E8"/>
    <w:rsid w:val="00A901B3"/>
    <w:rsid w:val="00A90BAB"/>
    <w:rsid w:val="00A950BA"/>
    <w:rsid w:val="00AA18C1"/>
    <w:rsid w:val="00AA286C"/>
    <w:rsid w:val="00AA4722"/>
    <w:rsid w:val="00AB0A68"/>
    <w:rsid w:val="00AB18AF"/>
    <w:rsid w:val="00AB2479"/>
    <w:rsid w:val="00AC0AAE"/>
    <w:rsid w:val="00AC0D92"/>
    <w:rsid w:val="00AC4935"/>
    <w:rsid w:val="00AC624C"/>
    <w:rsid w:val="00AC6B24"/>
    <w:rsid w:val="00AC6EC4"/>
    <w:rsid w:val="00AD3241"/>
    <w:rsid w:val="00AD490C"/>
    <w:rsid w:val="00AE27BB"/>
    <w:rsid w:val="00AE344E"/>
    <w:rsid w:val="00AE3EED"/>
    <w:rsid w:val="00AF0183"/>
    <w:rsid w:val="00AF3DE6"/>
    <w:rsid w:val="00AF702E"/>
    <w:rsid w:val="00B0358D"/>
    <w:rsid w:val="00B1308C"/>
    <w:rsid w:val="00B16E8A"/>
    <w:rsid w:val="00B208A7"/>
    <w:rsid w:val="00B24C72"/>
    <w:rsid w:val="00B25B04"/>
    <w:rsid w:val="00B3050F"/>
    <w:rsid w:val="00B35B4F"/>
    <w:rsid w:val="00B37E6A"/>
    <w:rsid w:val="00B4277B"/>
    <w:rsid w:val="00B4536D"/>
    <w:rsid w:val="00B4555F"/>
    <w:rsid w:val="00B5431F"/>
    <w:rsid w:val="00B62E5F"/>
    <w:rsid w:val="00B648AA"/>
    <w:rsid w:val="00B730CD"/>
    <w:rsid w:val="00B75266"/>
    <w:rsid w:val="00B75336"/>
    <w:rsid w:val="00B9382A"/>
    <w:rsid w:val="00B95388"/>
    <w:rsid w:val="00B96501"/>
    <w:rsid w:val="00B96811"/>
    <w:rsid w:val="00B96893"/>
    <w:rsid w:val="00BA0293"/>
    <w:rsid w:val="00BA3661"/>
    <w:rsid w:val="00BB08A6"/>
    <w:rsid w:val="00BB479F"/>
    <w:rsid w:val="00BC27AF"/>
    <w:rsid w:val="00BC48B4"/>
    <w:rsid w:val="00BC7F28"/>
    <w:rsid w:val="00BD3809"/>
    <w:rsid w:val="00BD62F8"/>
    <w:rsid w:val="00BE16B5"/>
    <w:rsid w:val="00BE66A1"/>
    <w:rsid w:val="00BF3250"/>
    <w:rsid w:val="00BF643A"/>
    <w:rsid w:val="00BF6A03"/>
    <w:rsid w:val="00C02976"/>
    <w:rsid w:val="00C02F72"/>
    <w:rsid w:val="00C05D63"/>
    <w:rsid w:val="00C11418"/>
    <w:rsid w:val="00C16C44"/>
    <w:rsid w:val="00C1792F"/>
    <w:rsid w:val="00C21CE8"/>
    <w:rsid w:val="00C23234"/>
    <w:rsid w:val="00C3146E"/>
    <w:rsid w:val="00C32514"/>
    <w:rsid w:val="00C32631"/>
    <w:rsid w:val="00C330AD"/>
    <w:rsid w:val="00C355C4"/>
    <w:rsid w:val="00C43AE2"/>
    <w:rsid w:val="00C43E50"/>
    <w:rsid w:val="00C45895"/>
    <w:rsid w:val="00C46B09"/>
    <w:rsid w:val="00C5272B"/>
    <w:rsid w:val="00C52D0D"/>
    <w:rsid w:val="00C5320C"/>
    <w:rsid w:val="00C566D0"/>
    <w:rsid w:val="00C57A1E"/>
    <w:rsid w:val="00C626CF"/>
    <w:rsid w:val="00C62D06"/>
    <w:rsid w:val="00C7022D"/>
    <w:rsid w:val="00C74304"/>
    <w:rsid w:val="00C75002"/>
    <w:rsid w:val="00C76B80"/>
    <w:rsid w:val="00C84980"/>
    <w:rsid w:val="00C85EDC"/>
    <w:rsid w:val="00C91CFA"/>
    <w:rsid w:val="00C94219"/>
    <w:rsid w:val="00CA2626"/>
    <w:rsid w:val="00CB43D5"/>
    <w:rsid w:val="00CB66A5"/>
    <w:rsid w:val="00CB7403"/>
    <w:rsid w:val="00CC02C1"/>
    <w:rsid w:val="00CC2E22"/>
    <w:rsid w:val="00CC5E1C"/>
    <w:rsid w:val="00CD0E00"/>
    <w:rsid w:val="00CD2EEF"/>
    <w:rsid w:val="00CD79FE"/>
    <w:rsid w:val="00CE4834"/>
    <w:rsid w:val="00CF031C"/>
    <w:rsid w:val="00CF6642"/>
    <w:rsid w:val="00D02C90"/>
    <w:rsid w:val="00D035F5"/>
    <w:rsid w:val="00D05B2D"/>
    <w:rsid w:val="00D06825"/>
    <w:rsid w:val="00D06BF8"/>
    <w:rsid w:val="00D13AC9"/>
    <w:rsid w:val="00D17B1A"/>
    <w:rsid w:val="00D20C3B"/>
    <w:rsid w:val="00D24247"/>
    <w:rsid w:val="00D24488"/>
    <w:rsid w:val="00D24CD3"/>
    <w:rsid w:val="00D255AE"/>
    <w:rsid w:val="00D30552"/>
    <w:rsid w:val="00D3273C"/>
    <w:rsid w:val="00D3455C"/>
    <w:rsid w:val="00D36713"/>
    <w:rsid w:val="00D470D8"/>
    <w:rsid w:val="00D523AA"/>
    <w:rsid w:val="00D52D24"/>
    <w:rsid w:val="00D52DF6"/>
    <w:rsid w:val="00D53DBB"/>
    <w:rsid w:val="00D543DB"/>
    <w:rsid w:val="00D55DB5"/>
    <w:rsid w:val="00D573EB"/>
    <w:rsid w:val="00D575D2"/>
    <w:rsid w:val="00D62898"/>
    <w:rsid w:val="00D63488"/>
    <w:rsid w:val="00D719B6"/>
    <w:rsid w:val="00D726E0"/>
    <w:rsid w:val="00D743F2"/>
    <w:rsid w:val="00D7763A"/>
    <w:rsid w:val="00D838FE"/>
    <w:rsid w:val="00D85F36"/>
    <w:rsid w:val="00D870B3"/>
    <w:rsid w:val="00D942B5"/>
    <w:rsid w:val="00D96198"/>
    <w:rsid w:val="00D97694"/>
    <w:rsid w:val="00DA1136"/>
    <w:rsid w:val="00DA3EB8"/>
    <w:rsid w:val="00DA471D"/>
    <w:rsid w:val="00DB66EB"/>
    <w:rsid w:val="00DB7C22"/>
    <w:rsid w:val="00DC01C0"/>
    <w:rsid w:val="00DC2F84"/>
    <w:rsid w:val="00DC367A"/>
    <w:rsid w:val="00DE4536"/>
    <w:rsid w:val="00DE771C"/>
    <w:rsid w:val="00DF1663"/>
    <w:rsid w:val="00DF48EF"/>
    <w:rsid w:val="00DF6FBF"/>
    <w:rsid w:val="00DF7A7C"/>
    <w:rsid w:val="00E00766"/>
    <w:rsid w:val="00E0691A"/>
    <w:rsid w:val="00E073F8"/>
    <w:rsid w:val="00E16B63"/>
    <w:rsid w:val="00E2369B"/>
    <w:rsid w:val="00E24EED"/>
    <w:rsid w:val="00E331F2"/>
    <w:rsid w:val="00E35ED1"/>
    <w:rsid w:val="00E36647"/>
    <w:rsid w:val="00E420D4"/>
    <w:rsid w:val="00E430BA"/>
    <w:rsid w:val="00E433C1"/>
    <w:rsid w:val="00E4663C"/>
    <w:rsid w:val="00E514E4"/>
    <w:rsid w:val="00E53E84"/>
    <w:rsid w:val="00E57216"/>
    <w:rsid w:val="00E61837"/>
    <w:rsid w:val="00E63217"/>
    <w:rsid w:val="00E64FC3"/>
    <w:rsid w:val="00E6525E"/>
    <w:rsid w:val="00E671F0"/>
    <w:rsid w:val="00E81FB3"/>
    <w:rsid w:val="00E91DFF"/>
    <w:rsid w:val="00E96026"/>
    <w:rsid w:val="00EA0974"/>
    <w:rsid w:val="00EA2BCA"/>
    <w:rsid w:val="00EA5023"/>
    <w:rsid w:val="00EB066B"/>
    <w:rsid w:val="00EB06D2"/>
    <w:rsid w:val="00EB7F40"/>
    <w:rsid w:val="00EC3CD3"/>
    <w:rsid w:val="00ED192D"/>
    <w:rsid w:val="00ED2E72"/>
    <w:rsid w:val="00ED69B5"/>
    <w:rsid w:val="00EE035D"/>
    <w:rsid w:val="00EE3D4F"/>
    <w:rsid w:val="00EF10A3"/>
    <w:rsid w:val="00EF1B0F"/>
    <w:rsid w:val="00EF22D0"/>
    <w:rsid w:val="00F05BC1"/>
    <w:rsid w:val="00F2326C"/>
    <w:rsid w:val="00F32623"/>
    <w:rsid w:val="00F32D74"/>
    <w:rsid w:val="00F3788D"/>
    <w:rsid w:val="00F37E0A"/>
    <w:rsid w:val="00F41339"/>
    <w:rsid w:val="00F41EEE"/>
    <w:rsid w:val="00F47CCF"/>
    <w:rsid w:val="00F50D25"/>
    <w:rsid w:val="00F5196F"/>
    <w:rsid w:val="00F524C3"/>
    <w:rsid w:val="00F52D67"/>
    <w:rsid w:val="00F531AB"/>
    <w:rsid w:val="00F55D25"/>
    <w:rsid w:val="00F57850"/>
    <w:rsid w:val="00F63345"/>
    <w:rsid w:val="00F70AAE"/>
    <w:rsid w:val="00F74F47"/>
    <w:rsid w:val="00F76FC7"/>
    <w:rsid w:val="00F81831"/>
    <w:rsid w:val="00F8509D"/>
    <w:rsid w:val="00F865AA"/>
    <w:rsid w:val="00F91B65"/>
    <w:rsid w:val="00F95FFD"/>
    <w:rsid w:val="00F9761D"/>
    <w:rsid w:val="00FA5EE0"/>
    <w:rsid w:val="00FA611B"/>
    <w:rsid w:val="00FA6AF6"/>
    <w:rsid w:val="00FB1C7B"/>
    <w:rsid w:val="00FB69E3"/>
    <w:rsid w:val="00FB6F8B"/>
    <w:rsid w:val="00FB71A5"/>
    <w:rsid w:val="00FB74C7"/>
    <w:rsid w:val="00FC7555"/>
    <w:rsid w:val="00FC7BB9"/>
    <w:rsid w:val="00FD1612"/>
    <w:rsid w:val="00FD16E1"/>
    <w:rsid w:val="00FD7249"/>
    <w:rsid w:val="00FD7678"/>
    <w:rsid w:val="00FD799B"/>
    <w:rsid w:val="00FE20EB"/>
    <w:rsid w:val="00FE51F7"/>
    <w:rsid w:val="00FE71D0"/>
    <w:rsid w:val="00FF006C"/>
    <w:rsid w:val="00FF3034"/>
    <w:rsid w:val="00FF440D"/>
    <w:rsid w:val="00FF5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90A98-04B1-4A02-AD5A-E3DBB3D66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61D5"/>
    <w:pPr>
      <w:outlineLvl w:val="0"/>
    </w:pPr>
    <w:rPr>
      <w:b/>
      <w:sz w:val="28"/>
    </w:rPr>
  </w:style>
  <w:style w:type="paragraph" w:styleId="Heading2">
    <w:name w:val="heading 2"/>
    <w:basedOn w:val="Normal"/>
    <w:next w:val="Normal"/>
    <w:link w:val="Heading2Char"/>
    <w:uiPriority w:val="9"/>
    <w:unhideWhenUsed/>
    <w:qFormat/>
    <w:rsid w:val="008E61D5"/>
    <w:pPr>
      <w:outlineLvl w:val="1"/>
    </w:pPr>
    <w:rPr>
      <w:rFonts w:cs="Arial"/>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0CD"/>
    <w:pPr>
      <w:ind w:left="720"/>
      <w:contextualSpacing/>
    </w:pPr>
  </w:style>
  <w:style w:type="character" w:styleId="Hyperlink">
    <w:name w:val="Hyperlink"/>
    <w:basedOn w:val="DefaultParagraphFont"/>
    <w:uiPriority w:val="99"/>
    <w:unhideWhenUsed/>
    <w:rsid w:val="00254808"/>
    <w:rPr>
      <w:color w:val="0563C1" w:themeColor="hyperlink"/>
      <w:u w:val="single"/>
    </w:rPr>
  </w:style>
  <w:style w:type="table" w:styleId="TableGrid">
    <w:name w:val="Table Grid"/>
    <w:basedOn w:val="TableNormal"/>
    <w:uiPriority w:val="39"/>
    <w:rsid w:val="006D3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link w:val="Style1Char"/>
    <w:qFormat/>
    <w:rsid w:val="00E420D4"/>
    <w:rPr>
      <w:rFonts w:ascii="Courier New" w:hAnsi="Courier New" w:cs="Courier New"/>
      <w:b/>
      <w:lang w:val="en-GB"/>
    </w:rPr>
  </w:style>
  <w:style w:type="character" w:customStyle="1" w:styleId="Style1Char">
    <w:name w:val="Style1 Char"/>
    <w:basedOn w:val="DefaultParagraphFont"/>
    <w:link w:val="Style1"/>
    <w:rsid w:val="00E420D4"/>
    <w:rPr>
      <w:rFonts w:ascii="Courier New" w:hAnsi="Courier New" w:cs="Courier New"/>
      <w:b/>
      <w:lang w:val="en-GB"/>
    </w:rPr>
  </w:style>
  <w:style w:type="paragraph" w:styleId="Header">
    <w:name w:val="header"/>
    <w:basedOn w:val="Normal"/>
    <w:link w:val="HeaderChar"/>
    <w:uiPriority w:val="99"/>
    <w:unhideWhenUsed/>
    <w:rsid w:val="00C05D63"/>
    <w:pPr>
      <w:tabs>
        <w:tab w:val="center" w:pos="4680"/>
        <w:tab w:val="right" w:pos="9360"/>
      </w:tabs>
    </w:pPr>
  </w:style>
  <w:style w:type="character" w:customStyle="1" w:styleId="HeaderChar">
    <w:name w:val="Header Char"/>
    <w:basedOn w:val="DefaultParagraphFont"/>
    <w:link w:val="Header"/>
    <w:uiPriority w:val="99"/>
    <w:rsid w:val="00C05D63"/>
  </w:style>
  <w:style w:type="paragraph" w:styleId="Footer">
    <w:name w:val="footer"/>
    <w:basedOn w:val="Normal"/>
    <w:link w:val="FooterChar"/>
    <w:uiPriority w:val="99"/>
    <w:unhideWhenUsed/>
    <w:rsid w:val="00C05D63"/>
    <w:pPr>
      <w:tabs>
        <w:tab w:val="center" w:pos="4680"/>
        <w:tab w:val="right" w:pos="9360"/>
      </w:tabs>
    </w:pPr>
  </w:style>
  <w:style w:type="character" w:customStyle="1" w:styleId="FooterChar">
    <w:name w:val="Footer Char"/>
    <w:basedOn w:val="DefaultParagraphFont"/>
    <w:link w:val="Footer"/>
    <w:uiPriority w:val="99"/>
    <w:rsid w:val="00C05D63"/>
  </w:style>
  <w:style w:type="paragraph" w:styleId="NormalWeb">
    <w:name w:val="Normal (Web)"/>
    <w:basedOn w:val="Normal"/>
    <w:uiPriority w:val="99"/>
    <w:semiHidden/>
    <w:unhideWhenUsed/>
    <w:rsid w:val="00B4536D"/>
    <w:pPr>
      <w:spacing w:before="100" w:beforeAutospacing="1" w:after="100" w:afterAutospacing="1"/>
    </w:pPr>
    <w:rPr>
      <w:rFonts w:ascii="Times New Roman" w:eastAsia="Times New Roman" w:hAnsi="Times New Roman"/>
    </w:rPr>
  </w:style>
  <w:style w:type="character" w:customStyle="1" w:styleId="Heading1Char">
    <w:name w:val="Heading 1 Char"/>
    <w:basedOn w:val="DefaultParagraphFont"/>
    <w:link w:val="Heading1"/>
    <w:uiPriority w:val="9"/>
    <w:rsid w:val="008E61D5"/>
    <w:rPr>
      <w:b/>
      <w:sz w:val="28"/>
    </w:rPr>
  </w:style>
  <w:style w:type="paragraph" w:styleId="TOCHeading">
    <w:name w:val="TOC Heading"/>
    <w:basedOn w:val="Heading1"/>
    <w:next w:val="Normal"/>
    <w:uiPriority w:val="39"/>
    <w:unhideWhenUsed/>
    <w:qFormat/>
    <w:rsid w:val="005B6D59"/>
    <w:pPr>
      <w:spacing w:line="259" w:lineRule="auto"/>
      <w:outlineLvl w:val="9"/>
    </w:pPr>
  </w:style>
  <w:style w:type="paragraph" w:styleId="NoSpacing">
    <w:name w:val="No Spacing"/>
    <w:uiPriority w:val="1"/>
    <w:qFormat/>
    <w:rsid w:val="00692737"/>
  </w:style>
  <w:style w:type="paragraph" w:styleId="BalloonText">
    <w:name w:val="Balloon Text"/>
    <w:basedOn w:val="Normal"/>
    <w:link w:val="BalloonTextChar"/>
    <w:uiPriority w:val="99"/>
    <w:semiHidden/>
    <w:unhideWhenUsed/>
    <w:rsid w:val="004E1C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C51"/>
    <w:rPr>
      <w:rFonts w:ascii="Segoe UI" w:hAnsi="Segoe UI" w:cs="Segoe UI"/>
      <w:sz w:val="18"/>
      <w:szCs w:val="18"/>
    </w:rPr>
  </w:style>
  <w:style w:type="character" w:customStyle="1" w:styleId="Heading2Char">
    <w:name w:val="Heading 2 Char"/>
    <w:basedOn w:val="DefaultParagraphFont"/>
    <w:link w:val="Heading2"/>
    <w:uiPriority w:val="9"/>
    <w:rsid w:val="008E61D5"/>
    <w:rPr>
      <w:rFonts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4662">
      <w:bodyDiv w:val="1"/>
      <w:marLeft w:val="0"/>
      <w:marRight w:val="0"/>
      <w:marTop w:val="0"/>
      <w:marBottom w:val="0"/>
      <w:divBdr>
        <w:top w:val="none" w:sz="0" w:space="0" w:color="auto"/>
        <w:left w:val="none" w:sz="0" w:space="0" w:color="auto"/>
        <w:bottom w:val="none" w:sz="0" w:space="0" w:color="auto"/>
        <w:right w:val="none" w:sz="0" w:space="0" w:color="auto"/>
      </w:divBdr>
    </w:div>
    <w:div w:id="14812914">
      <w:bodyDiv w:val="1"/>
      <w:marLeft w:val="0"/>
      <w:marRight w:val="0"/>
      <w:marTop w:val="0"/>
      <w:marBottom w:val="0"/>
      <w:divBdr>
        <w:top w:val="none" w:sz="0" w:space="0" w:color="auto"/>
        <w:left w:val="none" w:sz="0" w:space="0" w:color="auto"/>
        <w:bottom w:val="none" w:sz="0" w:space="0" w:color="auto"/>
        <w:right w:val="none" w:sz="0" w:space="0" w:color="auto"/>
      </w:divBdr>
    </w:div>
    <w:div w:id="109906926">
      <w:bodyDiv w:val="1"/>
      <w:marLeft w:val="0"/>
      <w:marRight w:val="0"/>
      <w:marTop w:val="0"/>
      <w:marBottom w:val="0"/>
      <w:divBdr>
        <w:top w:val="none" w:sz="0" w:space="0" w:color="auto"/>
        <w:left w:val="none" w:sz="0" w:space="0" w:color="auto"/>
        <w:bottom w:val="none" w:sz="0" w:space="0" w:color="auto"/>
        <w:right w:val="none" w:sz="0" w:space="0" w:color="auto"/>
      </w:divBdr>
    </w:div>
    <w:div w:id="136804859">
      <w:bodyDiv w:val="1"/>
      <w:marLeft w:val="0"/>
      <w:marRight w:val="0"/>
      <w:marTop w:val="0"/>
      <w:marBottom w:val="0"/>
      <w:divBdr>
        <w:top w:val="none" w:sz="0" w:space="0" w:color="auto"/>
        <w:left w:val="none" w:sz="0" w:space="0" w:color="auto"/>
        <w:bottom w:val="none" w:sz="0" w:space="0" w:color="auto"/>
        <w:right w:val="none" w:sz="0" w:space="0" w:color="auto"/>
      </w:divBdr>
    </w:div>
    <w:div w:id="200938773">
      <w:bodyDiv w:val="1"/>
      <w:marLeft w:val="0"/>
      <w:marRight w:val="0"/>
      <w:marTop w:val="0"/>
      <w:marBottom w:val="0"/>
      <w:divBdr>
        <w:top w:val="none" w:sz="0" w:space="0" w:color="auto"/>
        <w:left w:val="none" w:sz="0" w:space="0" w:color="auto"/>
        <w:bottom w:val="none" w:sz="0" w:space="0" w:color="auto"/>
        <w:right w:val="none" w:sz="0" w:space="0" w:color="auto"/>
      </w:divBdr>
    </w:div>
    <w:div w:id="249581795">
      <w:bodyDiv w:val="1"/>
      <w:marLeft w:val="0"/>
      <w:marRight w:val="0"/>
      <w:marTop w:val="0"/>
      <w:marBottom w:val="0"/>
      <w:divBdr>
        <w:top w:val="none" w:sz="0" w:space="0" w:color="auto"/>
        <w:left w:val="none" w:sz="0" w:space="0" w:color="auto"/>
        <w:bottom w:val="none" w:sz="0" w:space="0" w:color="auto"/>
        <w:right w:val="none" w:sz="0" w:space="0" w:color="auto"/>
      </w:divBdr>
    </w:div>
    <w:div w:id="287055411">
      <w:bodyDiv w:val="1"/>
      <w:marLeft w:val="0"/>
      <w:marRight w:val="0"/>
      <w:marTop w:val="0"/>
      <w:marBottom w:val="0"/>
      <w:divBdr>
        <w:top w:val="none" w:sz="0" w:space="0" w:color="auto"/>
        <w:left w:val="none" w:sz="0" w:space="0" w:color="auto"/>
        <w:bottom w:val="none" w:sz="0" w:space="0" w:color="auto"/>
        <w:right w:val="none" w:sz="0" w:space="0" w:color="auto"/>
      </w:divBdr>
      <w:divsChild>
        <w:div w:id="409736044">
          <w:marLeft w:val="547"/>
          <w:marRight w:val="0"/>
          <w:marTop w:val="115"/>
          <w:marBottom w:val="0"/>
          <w:divBdr>
            <w:top w:val="none" w:sz="0" w:space="0" w:color="auto"/>
            <w:left w:val="none" w:sz="0" w:space="0" w:color="auto"/>
            <w:bottom w:val="none" w:sz="0" w:space="0" w:color="auto"/>
            <w:right w:val="none" w:sz="0" w:space="0" w:color="auto"/>
          </w:divBdr>
        </w:div>
        <w:div w:id="1566918345">
          <w:marLeft w:val="547"/>
          <w:marRight w:val="0"/>
          <w:marTop w:val="115"/>
          <w:marBottom w:val="0"/>
          <w:divBdr>
            <w:top w:val="none" w:sz="0" w:space="0" w:color="auto"/>
            <w:left w:val="none" w:sz="0" w:space="0" w:color="auto"/>
            <w:bottom w:val="none" w:sz="0" w:space="0" w:color="auto"/>
            <w:right w:val="none" w:sz="0" w:space="0" w:color="auto"/>
          </w:divBdr>
        </w:div>
        <w:div w:id="151216395">
          <w:marLeft w:val="547"/>
          <w:marRight w:val="0"/>
          <w:marTop w:val="115"/>
          <w:marBottom w:val="0"/>
          <w:divBdr>
            <w:top w:val="none" w:sz="0" w:space="0" w:color="auto"/>
            <w:left w:val="none" w:sz="0" w:space="0" w:color="auto"/>
            <w:bottom w:val="none" w:sz="0" w:space="0" w:color="auto"/>
            <w:right w:val="none" w:sz="0" w:space="0" w:color="auto"/>
          </w:divBdr>
        </w:div>
      </w:divsChild>
    </w:div>
    <w:div w:id="346103164">
      <w:bodyDiv w:val="1"/>
      <w:marLeft w:val="0"/>
      <w:marRight w:val="0"/>
      <w:marTop w:val="0"/>
      <w:marBottom w:val="0"/>
      <w:divBdr>
        <w:top w:val="none" w:sz="0" w:space="0" w:color="auto"/>
        <w:left w:val="none" w:sz="0" w:space="0" w:color="auto"/>
        <w:bottom w:val="none" w:sz="0" w:space="0" w:color="auto"/>
        <w:right w:val="none" w:sz="0" w:space="0" w:color="auto"/>
      </w:divBdr>
    </w:div>
    <w:div w:id="369234495">
      <w:bodyDiv w:val="1"/>
      <w:marLeft w:val="0"/>
      <w:marRight w:val="0"/>
      <w:marTop w:val="0"/>
      <w:marBottom w:val="0"/>
      <w:divBdr>
        <w:top w:val="none" w:sz="0" w:space="0" w:color="auto"/>
        <w:left w:val="none" w:sz="0" w:space="0" w:color="auto"/>
        <w:bottom w:val="none" w:sz="0" w:space="0" w:color="auto"/>
        <w:right w:val="none" w:sz="0" w:space="0" w:color="auto"/>
      </w:divBdr>
    </w:div>
    <w:div w:id="463743696">
      <w:bodyDiv w:val="1"/>
      <w:marLeft w:val="0"/>
      <w:marRight w:val="0"/>
      <w:marTop w:val="0"/>
      <w:marBottom w:val="0"/>
      <w:divBdr>
        <w:top w:val="none" w:sz="0" w:space="0" w:color="auto"/>
        <w:left w:val="none" w:sz="0" w:space="0" w:color="auto"/>
        <w:bottom w:val="none" w:sz="0" w:space="0" w:color="auto"/>
        <w:right w:val="none" w:sz="0" w:space="0" w:color="auto"/>
      </w:divBdr>
    </w:div>
    <w:div w:id="464664382">
      <w:bodyDiv w:val="1"/>
      <w:marLeft w:val="0"/>
      <w:marRight w:val="0"/>
      <w:marTop w:val="0"/>
      <w:marBottom w:val="0"/>
      <w:divBdr>
        <w:top w:val="none" w:sz="0" w:space="0" w:color="auto"/>
        <w:left w:val="none" w:sz="0" w:space="0" w:color="auto"/>
        <w:bottom w:val="none" w:sz="0" w:space="0" w:color="auto"/>
        <w:right w:val="none" w:sz="0" w:space="0" w:color="auto"/>
      </w:divBdr>
    </w:div>
    <w:div w:id="627589808">
      <w:bodyDiv w:val="1"/>
      <w:marLeft w:val="0"/>
      <w:marRight w:val="0"/>
      <w:marTop w:val="0"/>
      <w:marBottom w:val="0"/>
      <w:divBdr>
        <w:top w:val="none" w:sz="0" w:space="0" w:color="auto"/>
        <w:left w:val="none" w:sz="0" w:space="0" w:color="auto"/>
        <w:bottom w:val="none" w:sz="0" w:space="0" w:color="auto"/>
        <w:right w:val="none" w:sz="0" w:space="0" w:color="auto"/>
      </w:divBdr>
      <w:divsChild>
        <w:div w:id="1223714178">
          <w:marLeft w:val="547"/>
          <w:marRight w:val="0"/>
          <w:marTop w:val="115"/>
          <w:marBottom w:val="0"/>
          <w:divBdr>
            <w:top w:val="none" w:sz="0" w:space="0" w:color="auto"/>
            <w:left w:val="none" w:sz="0" w:space="0" w:color="auto"/>
            <w:bottom w:val="none" w:sz="0" w:space="0" w:color="auto"/>
            <w:right w:val="none" w:sz="0" w:space="0" w:color="auto"/>
          </w:divBdr>
        </w:div>
        <w:div w:id="1672833616">
          <w:marLeft w:val="547"/>
          <w:marRight w:val="0"/>
          <w:marTop w:val="115"/>
          <w:marBottom w:val="0"/>
          <w:divBdr>
            <w:top w:val="none" w:sz="0" w:space="0" w:color="auto"/>
            <w:left w:val="none" w:sz="0" w:space="0" w:color="auto"/>
            <w:bottom w:val="none" w:sz="0" w:space="0" w:color="auto"/>
            <w:right w:val="none" w:sz="0" w:space="0" w:color="auto"/>
          </w:divBdr>
        </w:div>
      </w:divsChild>
    </w:div>
    <w:div w:id="633607874">
      <w:bodyDiv w:val="1"/>
      <w:marLeft w:val="0"/>
      <w:marRight w:val="0"/>
      <w:marTop w:val="0"/>
      <w:marBottom w:val="0"/>
      <w:divBdr>
        <w:top w:val="none" w:sz="0" w:space="0" w:color="auto"/>
        <w:left w:val="none" w:sz="0" w:space="0" w:color="auto"/>
        <w:bottom w:val="none" w:sz="0" w:space="0" w:color="auto"/>
        <w:right w:val="none" w:sz="0" w:space="0" w:color="auto"/>
      </w:divBdr>
    </w:div>
    <w:div w:id="749813633">
      <w:bodyDiv w:val="1"/>
      <w:marLeft w:val="0"/>
      <w:marRight w:val="0"/>
      <w:marTop w:val="0"/>
      <w:marBottom w:val="0"/>
      <w:divBdr>
        <w:top w:val="none" w:sz="0" w:space="0" w:color="auto"/>
        <w:left w:val="none" w:sz="0" w:space="0" w:color="auto"/>
        <w:bottom w:val="none" w:sz="0" w:space="0" w:color="auto"/>
        <w:right w:val="none" w:sz="0" w:space="0" w:color="auto"/>
      </w:divBdr>
    </w:div>
    <w:div w:id="802235949">
      <w:bodyDiv w:val="1"/>
      <w:marLeft w:val="0"/>
      <w:marRight w:val="0"/>
      <w:marTop w:val="0"/>
      <w:marBottom w:val="0"/>
      <w:divBdr>
        <w:top w:val="none" w:sz="0" w:space="0" w:color="auto"/>
        <w:left w:val="none" w:sz="0" w:space="0" w:color="auto"/>
        <w:bottom w:val="none" w:sz="0" w:space="0" w:color="auto"/>
        <w:right w:val="none" w:sz="0" w:space="0" w:color="auto"/>
      </w:divBdr>
    </w:div>
    <w:div w:id="823544387">
      <w:bodyDiv w:val="1"/>
      <w:marLeft w:val="0"/>
      <w:marRight w:val="0"/>
      <w:marTop w:val="0"/>
      <w:marBottom w:val="0"/>
      <w:divBdr>
        <w:top w:val="none" w:sz="0" w:space="0" w:color="auto"/>
        <w:left w:val="none" w:sz="0" w:space="0" w:color="auto"/>
        <w:bottom w:val="none" w:sz="0" w:space="0" w:color="auto"/>
        <w:right w:val="none" w:sz="0" w:space="0" w:color="auto"/>
      </w:divBdr>
    </w:div>
    <w:div w:id="937104321">
      <w:bodyDiv w:val="1"/>
      <w:marLeft w:val="0"/>
      <w:marRight w:val="0"/>
      <w:marTop w:val="0"/>
      <w:marBottom w:val="0"/>
      <w:divBdr>
        <w:top w:val="none" w:sz="0" w:space="0" w:color="auto"/>
        <w:left w:val="none" w:sz="0" w:space="0" w:color="auto"/>
        <w:bottom w:val="none" w:sz="0" w:space="0" w:color="auto"/>
        <w:right w:val="none" w:sz="0" w:space="0" w:color="auto"/>
      </w:divBdr>
    </w:div>
    <w:div w:id="965621030">
      <w:bodyDiv w:val="1"/>
      <w:marLeft w:val="0"/>
      <w:marRight w:val="0"/>
      <w:marTop w:val="0"/>
      <w:marBottom w:val="0"/>
      <w:divBdr>
        <w:top w:val="none" w:sz="0" w:space="0" w:color="auto"/>
        <w:left w:val="none" w:sz="0" w:space="0" w:color="auto"/>
        <w:bottom w:val="none" w:sz="0" w:space="0" w:color="auto"/>
        <w:right w:val="none" w:sz="0" w:space="0" w:color="auto"/>
      </w:divBdr>
    </w:div>
    <w:div w:id="1030692625">
      <w:bodyDiv w:val="1"/>
      <w:marLeft w:val="0"/>
      <w:marRight w:val="0"/>
      <w:marTop w:val="0"/>
      <w:marBottom w:val="0"/>
      <w:divBdr>
        <w:top w:val="none" w:sz="0" w:space="0" w:color="auto"/>
        <w:left w:val="none" w:sz="0" w:space="0" w:color="auto"/>
        <w:bottom w:val="none" w:sz="0" w:space="0" w:color="auto"/>
        <w:right w:val="none" w:sz="0" w:space="0" w:color="auto"/>
      </w:divBdr>
    </w:div>
    <w:div w:id="1074471095">
      <w:bodyDiv w:val="1"/>
      <w:marLeft w:val="0"/>
      <w:marRight w:val="0"/>
      <w:marTop w:val="0"/>
      <w:marBottom w:val="0"/>
      <w:divBdr>
        <w:top w:val="none" w:sz="0" w:space="0" w:color="auto"/>
        <w:left w:val="none" w:sz="0" w:space="0" w:color="auto"/>
        <w:bottom w:val="none" w:sz="0" w:space="0" w:color="auto"/>
        <w:right w:val="none" w:sz="0" w:space="0" w:color="auto"/>
      </w:divBdr>
    </w:div>
    <w:div w:id="1256788157">
      <w:bodyDiv w:val="1"/>
      <w:marLeft w:val="0"/>
      <w:marRight w:val="0"/>
      <w:marTop w:val="0"/>
      <w:marBottom w:val="0"/>
      <w:divBdr>
        <w:top w:val="none" w:sz="0" w:space="0" w:color="auto"/>
        <w:left w:val="none" w:sz="0" w:space="0" w:color="auto"/>
        <w:bottom w:val="none" w:sz="0" w:space="0" w:color="auto"/>
        <w:right w:val="none" w:sz="0" w:space="0" w:color="auto"/>
      </w:divBdr>
    </w:div>
    <w:div w:id="1271477522">
      <w:bodyDiv w:val="1"/>
      <w:marLeft w:val="0"/>
      <w:marRight w:val="0"/>
      <w:marTop w:val="0"/>
      <w:marBottom w:val="0"/>
      <w:divBdr>
        <w:top w:val="none" w:sz="0" w:space="0" w:color="auto"/>
        <w:left w:val="none" w:sz="0" w:space="0" w:color="auto"/>
        <w:bottom w:val="none" w:sz="0" w:space="0" w:color="auto"/>
        <w:right w:val="none" w:sz="0" w:space="0" w:color="auto"/>
      </w:divBdr>
    </w:div>
    <w:div w:id="1327510013">
      <w:bodyDiv w:val="1"/>
      <w:marLeft w:val="0"/>
      <w:marRight w:val="0"/>
      <w:marTop w:val="0"/>
      <w:marBottom w:val="0"/>
      <w:divBdr>
        <w:top w:val="none" w:sz="0" w:space="0" w:color="auto"/>
        <w:left w:val="none" w:sz="0" w:space="0" w:color="auto"/>
        <w:bottom w:val="none" w:sz="0" w:space="0" w:color="auto"/>
        <w:right w:val="none" w:sz="0" w:space="0" w:color="auto"/>
      </w:divBdr>
    </w:div>
    <w:div w:id="1511682504">
      <w:bodyDiv w:val="1"/>
      <w:marLeft w:val="0"/>
      <w:marRight w:val="0"/>
      <w:marTop w:val="0"/>
      <w:marBottom w:val="0"/>
      <w:divBdr>
        <w:top w:val="none" w:sz="0" w:space="0" w:color="auto"/>
        <w:left w:val="none" w:sz="0" w:space="0" w:color="auto"/>
        <w:bottom w:val="none" w:sz="0" w:space="0" w:color="auto"/>
        <w:right w:val="none" w:sz="0" w:space="0" w:color="auto"/>
      </w:divBdr>
    </w:div>
    <w:div w:id="1512455714">
      <w:bodyDiv w:val="1"/>
      <w:marLeft w:val="0"/>
      <w:marRight w:val="0"/>
      <w:marTop w:val="0"/>
      <w:marBottom w:val="0"/>
      <w:divBdr>
        <w:top w:val="none" w:sz="0" w:space="0" w:color="auto"/>
        <w:left w:val="none" w:sz="0" w:space="0" w:color="auto"/>
        <w:bottom w:val="none" w:sz="0" w:space="0" w:color="auto"/>
        <w:right w:val="none" w:sz="0" w:space="0" w:color="auto"/>
      </w:divBdr>
    </w:div>
    <w:div w:id="1558471567">
      <w:bodyDiv w:val="1"/>
      <w:marLeft w:val="0"/>
      <w:marRight w:val="0"/>
      <w:marTop w:val="0"/>
      <w:marBottom w:val="0"/>
      <w:divBdr>
        <w:top w:val="none" w:sz="0" w:space="0" w:color="auto"/>
        <w:left w:val="none" w:sz="0" w:space="0" w:color="auto"/>
        <w:bottom w:val="none" w:sz="0" w:space="0" w:color="auto"/>
        <w:right w:val="none" w:sz="0" w:space="0" w:color="auto"/>
      </w:divBdr>
    </w:div>
    <w:div w:id="1574663062">
      <w:bodyDiv w:val="1"/>
      <w:marLeft w:val="0"/>
      <w:marRight w:val="0"/>
      <w:marTop w:val="0"/>
      <w:marBottom w:val="0"/>
      <w:divBdr>
        <w:top w:val="none" w:sz="0" w:space="0" w:color="auto"/>
        <w:left w:val="none" w:sz="0" w:space="0" w:color="auto"/>
        <w:bottom w:val="none" w:sz="0" w:space="0" w:color="auto"/>
        <w:right w:val="none" w:sz="0" w:space="0" w:color="auto"/>
      </w:divBdr>
    </w:div>
    <w:div w:id="1700542866">
      <w:bodyDiv w:val="1"/>
      <w:marLeft w:val="0"/>
      <w:marRight w:val="0"/>
      <w:marTop w:val="0"/>
      <w:marBottom w:val="0"/>
      <w:divBdr>
        <w:top w:val="none" w:sz="0" w:space="0" w:color="auto"/>
        <w:left w:val="none" w:sz="0" w:space="0" w:color="auto"/>
        <w:bottom w:val="none" w:sz="0" w:space="0" w:color="auto"/>
        <w:right w:val="none" w:sz="0" w:space="0" w:color="auto"/>
      </w:divBdr>
    </w:div>
    <w:div w:id="1777676615">
      <w:bodyDiv w:val="1"/>
      <w:marLeft w:val="0"/>
      <w:marRight w:val="0"/>
      <w:marTop w:val="0"/>
      <w:marBottom w:val="0"/>
      <w:divBdr>
        <w:top w:val="none" w:sz="0" w:space="0" w:color="auto"/>
        <w:left w:val="none" w:sz="0" w:space="0" w:color="auto"/>
        <w:bottom w:val="none" w:sz="0" w:space="0" w:color="auto"/>
        <w:right w:val="none" w:sz="0" w:space="0" w:color="auto"/>
      </w:divBdr>
    </w:div>
    <w:div w:id="1778982157">
      <w:bodyDiv w:val="1"/>
      <w:marLeft w:val="0"/>
      <w:marRight w:val="0"/>
      <w:marTop w:val="0"/>
      <w:marBottom w:val="0"/>
      <w:divBdr>
        <w:top w:val="none" w:sz="0" w:space="0" w:color="auto"/>
        <w:left w:val="none" w:sz="0" w:space="0" w:color="auto"/>
        <w:bottom w:val="none" w:sz="0" w:space="0" w:color="auto"/>
        <w:right w:val="none" w:sz="0" w:space="0" w:color="auto"/>
      </w:divBdr>
    </w:div>
    <w:div w:id="1939410501">
      <w:bodyDiv w:val="1"/>
      <w:marLeft w:val="0"/>
      <w:marRight w:val="0"/>
      <w:marTop w:val="0"/>
      <w:marBottom w:val="0"/>
      <w:divBdr>
        <w:top w:val="none" w:sz="0" w:space="0" w:color="auto"/>
        <w:left w:val="none" w:sz="0" w:space="0" w:color="auto"/>
        <w:bottom w:val="none" w:sz="0" w:space="0" w:color="auto"/>
        <w:right w:val="none" w:sz="0" w:space="0" w:color="auto"/>
      </w:divBdr>
    </w:div>
    <w:div w:id="1948611504">
      <w:bodyDiv w:val="1"/>
      <w:marLeft w:val="0"/>
      <w:marRight w:val="0"/>
      <w:marTop w:val="0"/>
      <w:marBottom w:val="0"/>
      <w:divBdr>
        <w:top w:val="none" w:sz="0" w:space="0" w:color="auto"/>
        <w:left w:val="none" w:sz="0" w:space="0" w:color="auto"/>
        <w:bottom w:val="none" w:sz="0" w:space="0" w:color="auto"/>
        <w:right w:val="none" w:sz="0" w:space="0" w:color="auto"/>
      </w:divBdr>
    </w:div>
    <w:div w:id="2003003162">
      <w:bodyDiv w:val="1"/>
      <w:marLeft w:val="0"/>
      <w:marRight w:val="0"/>
      <w:marTop w:val="0"/>
      <w:marBottom w:val="0"/>
      <w:divBdr>
        <w:top w:val="none" w:sz="0" w:space="0" w:color="auto"/>
        <w:left w:val="none" w:sz="0" w:space="0" w:color="auto"/>
        <w:bottom w:val="none" w:sz="0" w:space="0" w:color="auto"/>
        <w:right w:val="none" w:sz="0" w:space="0" w:color="auto"/>
      </w:divBdr>
    </w:div>
    <w:div w:id="2004431978">
      <w:bodyDiv w:val="1"/>
      <w:marLeft w:val="0"/>
      <w:marRight w:val="0"/>
      <w:marTop w:val="0"/>
      <w:marBottom w:val="0"/>
      <w:divBdr>
        <w:top w:val="none" w:sz="0" w:space="0" w:color="auto"/>
        <w:left w:val="none" w:sz="0" w:space="0" w:color="auto"/>
        <w:bottom w:val="none" w:sz="0" w:space="0" w:color="auto"/>
        <w:right w:val="none" w:sz="0" w:space="0" w:color="auto"/>
      </w:divBdr>
    </w:div>
    <w:div w:id="2038697004">
      <w:bodyDiv w:val="1"/>
      <w:marLeft w:val="0"/>
      <w:marRight w:val="0"/>
      <w:marTop w:val="0"/>
      <w:marBottom w:val="0"/>
      <w:divBdr>
        <w:top w:val="none" w:sz="0" w:space="0" w:color="auto"/>
        <w:left w:val="none" w:sz="0" w:space="0" w:color="auto"/>
        <w:bottom w:val="none" w:sz="0" w:space="0" w:color="auto"/>
        <w:right w:val="none" w:sz="0" w:space="0" w:color="auto"/>
      </w:divBdr>
    </w:div>
    <w:div w:id="2049991187">
      <w:bodyDiv w:val="1"/>
      <w:marLeft w:val="0"/>
      <w:marRight w:val="0"/>
      <w:marTop w:val="0"/>
      <w:marBottom w:val="0"/>
      <w:divBdr>
        <w:top w:val="none" w:sz="0" w:space="0" w:color="auto"/>
        <w:left w:val="none" w:sz="0" w:space="0" w:color="auto"/>
        <w:bottom w:val="none" w:sz="0" w:space="0" w:color="auto"/>
        <w:right w:val="none" w:sz="0" w:space="0" w:color="auto"/>
      </w:divBdr>
    </w:div>
    <w:div w:id="20699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99DAE0BD-9801-4F0D-A9B4-3138A42E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1405</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2018 DDP Template User Manual</vt:lpstr>
    </vt:vector>
  </TitlesOfParts>
  <Company>Energy Regulatory Commission</Company>
  <LinksUpToDate>false</LinksUpToDate>
  <CharactersWithSpaces>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DDP Template User Manual</dc:title>
  <dc:subject/>
  <dc:creator>Joshua P. Fernandez</dc:creator>
  <cp:keywords/>
  <dc:description/>
  <cp:lastModifiedBy>Joshua Fernandez</cp:lastModifiedBy>
  <cp:revision>2</cp:revision>
  <cp:lastPrinted>2019-12-11T03:32:00Z</cp:lastPrinted>
  <dcterms:created xsi:type="dcterms:W3CDTF">2019-12-11T03:46:00Z</dcterms:created>
  <dcterms:modified xsi:type="dcterms:W3CDTF">2019-12-11T03:46:00Z</dcterms:modified>
</cp:coreProperties>
</file>